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60197" w:rsidRDefault="00560197" w14:paraId="62B9CE2F" w14:textId="77777777">
      <w:pPr>
        <w:rPr>
          <w:noProof/>
        </w:rPr>
      </w:pPr>
    </w:p>
    <w:p w:rsidR="00302F43" w:rsidRDefault="00560197" w14:paraId="3C2ADE3A" w14:textId="023FC01D">
      <w:r>
        <w:rPr>
          <w:noProof/>
        </w:rPr>
        <w:drawing>
          <wp:inline distT="0" distB="0" distL="0" distR="0" wp14:anchorId="50A6E48A" wp14:editId="7E1E2A80">
            <wp:extent cx="4712208" cy="1170432"/>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12208" cy="1170432"/>
                    </a:xfrm>
                    <a:prstGeom prst="rect">
                      <a:avLst/>
                    </a:prstGeom>
                  </pic:spPr>
                </pic:pic>
              </a:graphicData>
            </a:graphic>
          </wp:inline>
        </w:drawing>
      </w:r>
    </w:p>
    <w:p w:rsidR="00560197" w:rsidRDefault="00560197" w14:paraId="488B0810" w14:textId="77777777"/>
    <w:p w:rsidR="00560197" w:rsidRDefault="00560197" w14:paraId="43A27448" w14:textId="77777777"/>
    <w:p w:rsidRPr="00560197" w:rsidR="00560197" w:rsidRDefault="00560197" w14:paraId="0B856F4E" w14:textId="62BFC885">
      <w:pPr>
        <w:rPr>
          <w:sz w:val="44"/>
          <w:szCs w:val="44"/>
        </w:rPr>
      </w:pPr>
      <w:r w:rsidRPr="48A76223" w:rsidR="00560197">
        <w:rPr>
          <w:sz w:val="44"/>
          <w:szCs w:val="44"/>
        </w:rPr>
        <w:t xml:space="preserve">Careers Programme </w:t>
      </w:r>
      <w:r w:rsidRPr="48A76223" w:rsidR="62CA30FB">
        <w:rPr>
          <w:sz w:val="44"/>
          <w:szCs w:val="44"/>
        </w:rPr>
        <w:t xml:space="preserve">&amp; Policy </w:t>
      </w:r>
      <w:r w:rsidRPr="48A76223" w:rsidR="00560197">
        <w:rPr>
          <w:sz w:val="44"/>
          <w:szCs w:val="44"/>
        </w:rPr>
        <w:t>202</w:t>
      </w:r>
      <w:r w:rsidRPr="48A76223" w:rsidR="005D3D87">
        <w:rPr>
          <w:sz w:val="44"/>
          <w:szCs w:val="44"/>
        </w:rPr>
        <w:t>5</w:t>
      </w:r>
      <w:r w:rsidRPr="48A76223" w:rsidR="00560197">
        <w:rPr>
          <w:sz w:val="44"/>
          <w:szCs w:val="44"/>
        </w:rPr>
        <w:t>-2</w:t>
      </w:r>
      <w:r w:rsidRPr="48A76223" w:rsidR="005D3D87">
        <w:rPr>
          <w:sz w:val="44"/>
          <w:szCs w:val="44"/>
        </w:rPr>
        <w:t>6</w:t>
      </w:r>
    </w:p>
    <w:p w:rsidR="00560197" w:rsidRDefault="00560197" w14:paraId="01D3CB7F" w14:textId="77777777"/>
    <w:p w:rsidR="00560197" w:rsidRDefault="00560197" w14:paraId="6D5D01C9" w14:textId="766EF454">
      <w:r>
        <w:t>Careers Leader:</w:t>
      </w:r>
      <w:r>
        <w:tab/>
      </w:r>
      <w:r>
        <w:tab/>
      </w:r>
      <w:r>
        <w:t>Elizabeth Dark</w:t>
      </w:r>
    </w:p>
    <w:p w:rsidR="00560197" w:rsidRDefault="00560197" w14:paraId="30DD0EE8" w14:textId="5FA27F16">
      <w:r>
        <w:t>Approved by:</w:t>
      </w:r>
      <w:r>
        <w:tab/>
      </w:r>
      <w:r>
        <w:tab/>
      </w:r>
      <w:r w:rsidR="096BCF2C">
        <w:t xml:space="preserve">LGB </w:t>
      </w:r>
      <w:r>
        <w:t>Governors</w:t>
      </w:r>
    </w:p>
    <w:p w:rsidR="00560197" w:rsidP="02F8CFFC" w:rsidRDefault="00560197" w14:paraId="3D9445CE" w14:textId="74BB3AAF">
      <w:r>
        <w:t>Date:</w:t>
      </w:r>
      <w:r w:rsidR="6319A71F">
        <w:t xml:space="preserve"> </w:t>
      </w:r>
      <w:r>
        <w:tab/>
      </w:r>
      <w:r>
        <w:tab/>
      </w:r>
      <w:r>
        <w:tab/>
      </w:r>
      <w:r w:rsidR="005D3D87">
        <w:t xml:space="preserve">To be confirmed </w:t>
      </w:r>
      <w:r w:rsidR="01FCEC5C">
        <w:t>Autumn 202</w:t>
      </w:r>
      <w:r w:rsidR="005D3D87">
        <w:t>5</w:t>
      </w:r>
    </w:p>
    <w:p w:rsidR="00560197" w:rsidRDefault="00560197" w14:paraId="441E6CAA" w14:textId="306EA7C2"/>
    <w:p w:rsidR="00560197" w:rsidRDefault="00560197" w14:paraId="33E9E9A7" w14:textId="2FB5885B">
      <w:r>
        <w:br w:type="page"/>
      </w:r>
    </w:p>
    <w:p w:rsidR="00560197" w:rsidP="00560197" w:rsidRDefault="00560197" w14:paraId="623CD8FB" w14:textId="60D63DBD">
      <w:pPr>
        <w:pStyle w:val="Heading1"/>
      </w:pPr>
      <w:r>
        <w:t>Rationale and Vision</w:t>
      </w:r>
    </w:p>
    <w:p w:rsidR="00560197" w:rsidRDefault="00560197" w14:paraId="4BB682DA" w14:textId="77777777"/>
    <w:p w:rsidR="00560197" w:rsidRDefault="00560197" w14:paraId="33DA82BC" w14:textId="73738119">
      <w:proofErr w:type="spellStart"/>
      <w:r>
        <w:t>Bilborough</w:t>
      </w:r>
      <w:proofErr w:type="spellEnd"/>
      <w:r>
        <w:t xml:space="preserve"> Sixth Form College is committed to ensuring </w:t>
      </w:r>
      <w:proofErr w:type="gramStart"/>
      <w:r>
        <w:t>all of</w:t>
      </w:r>
      <w:proofErr w:type="gramEnd"/>
      <w:r>
        <w:t xml:space="preserve"> our students have access to high quality</w:t>
      </w:r>
      <w:r w:rsidR="00754FF9">
        <w:t xml:space="preserve"> careers information and advice</w:t>
      </w:r>
      <w:r w:rsidR="00160372">
        <w:t xml:space="preserve"> through our extensive Careers Programme.  All students have access to </w:t>
      </w:r>
      <w:r>
        <w:t xml:space="preserve">impartial careers guidance from </w:t>
      </w:r>
      <w:r w:rsidR="00754FF9">
        <w:t xml:space="preserve">qualified Careers Advisers, and to a wide range of employers, universities and other organisations who can support them in considering their future.  </w:t>
      </w:r>
    </w:p>
    <w:p w:rsidR="00160372" w:rsidP="6E7E4CE9" w:rsidRDefault="00160372" w14:paraId="13E82014" w14:textId="35D86B37">
      <w:r>
        <w:t xml:space="preserve">To help us do this, we align our Careers Programme to the Gatsby Benchmarks, which have been explicitly referenced </w:t>
      </w:r>
      <w:r w:rsidR="3BF2B68E">
        <w:t>through the</w:t>
      </w:r>
      <w:r>
        <w:t xml:space="preserve"> DfE’s Careers </w:t>
      </w:r>
      <w:r w:rsidR="005D3D87">
        <w:t xml:space="preserve">Guidance and Access for Education and Training Providers (May 2025) </w:t>
      </w:r>
      <w:hyperlink w:history="1" r:id="rId11">
        <w:r w:rsidRPr="005D3D87" w:rsidR="005D3D87">
          <w:rPr>
            <w:rStyle w:val="Hyperlink"/>
          </w:rPr>
          <w:t>https://www.gov.uk/government/publications/careers-guidance-provision-for-young-people-in-schools/careers-guidance-and-access-for-education-and-training-providers</w:t>
        </w:r>
      </w:hyperlink>
      <w:r>
        <w:t>, and which aligns to the delivery of independent careers guidance to secondary age students in accordance with section 42A of the Education Act 1997</w:t>
      </w:r>
    </w:p>
    <w:p w:rsidR="00160372" w:rsidP="6E7E4CE9" w:rsidRDefault="00160372" w14:paraId="34BEA06B" w14:textId="5B2BF7ED">
      <w:r>
        <w:t>Gatsby Benchmarks of Good Career Guidance</w:t>
      </w:r>
      <w:r w:rsidR="005D3D87">
        <w:t xml:space="preserve"> </w:t>
      </w:r>
      <w:hyperlink w:history="1" r:id="rId12">
        <w:r w:rsidRPr="005D3D87" w:rsidR="005D3D87">
          <w:rPr>
            <w:rStyle w:val="Hyperlink"/>
          </w:rPr>
          <w:t>Gatsby Good Career Guidance: The Next 10 Years</w:t>
        </w:r>
      </w:hyperlink>
      <w:r w:rsidR="4D1FF4ED">
        <w:t>:</w:t>
      </w:r>
    </w:p>
    <w:p w:rsidR="00160372" w:rsidP="6E7E4CE9" w:rsidRDefault="205FBA5F" w14:paraId="36E21A81" w14:textId="3AC58E7D">
      <w:pPr>
        <w:pStyle w:val="ListParagraph"/>
        <w:numPr>
          <w:ilvl w:val="0"/>
          <w:numId w:val="3"/>
        </w:numPr>
      </w:pPr>
      <w:r>
        <w:t>A</w:t>
      </w:r>
      <w:r w:rsidR="00160372">
        <w:t xml:space="preserve"> stable careers programme</w:t>
      </w:r>
    </w:p>
    <w:p w:rsidR="00160372" w:rsidP="6E7E4CE9" w:rsidRDefault="00160372" w14:paraId="781B2E20" w14:textId="10B9CE61">
      <w:pPr>
        <w:pStyle w:val="ListParagraph"/>
        <w:numPr>
          <w:ilvl w:val="0"/>
          <w:numId w:val="3"/>
        </w:numPr>
      </w:pPr>
      <w:r>
        <w:t>Learning from career and labour market information</w:t>
      </w:r>
    </w:p>
    <w:p w:rsidR="00160372" w:rsidP="6E7E4CE9" w:rsidRDefault="00160372" w14:paraId="263D53BA" w14:textId="526872C6">
      <w:pPr>
        <w:pStyle w:val="ListParagraph"/>
        <w:numPr>
          <w:ilvl w:val="0"/>
          <w:numId w:val="3"/>
        </w:numPr>
      </w:pPr>
      <w:r>
        <w:t>Addressing the needs of each pupil</w:t>
      </w:r>
    </w:p>
    <w:p w:rsidR="00160372" w:rsidP="6E7E4CE9" w:rsidRDefault="00160372" w14:paraId="2F07B617" w14:textId="256DF316">
      <w:pPr>
        <w:pStyle w:val="ListParagraph"/>
        <w:numPr>
          <w:ilvl w:val="0"/>
          <w:numId w:val="3"/>
        </w:numPr>
      </w:pPr>
      <w:r>
        <w:t>Linking curriculum learning to careers</w:t>
      </w:r>
    </w:p>
    <w:p w:rsidR="00160372" w:rsidP="6E7E4CE9" w:rsidRDefault="00160372" w14:paraId="23452CC7" w14:textId="6449B6C9">
      <w:pPr>
        <w:pStyle w:val="ListParagraph"/>
        <w:numPr>
          <w:ilvl w:val="0"/>
          <w:numId w:val="3"/>
        </w:numPr>
      </w:pPr>
      <w:r>
        <w:t>Encounters with employers and employees</w:t>
      </w:r>
    </w:p>
    <w:p w:rsidR="00160372" w:rsidP="6E7E4CE9" w:rsidRDefault="00160372" w14:paraId="51F92838" w14:textId="13E8E1A8">
      <w:pPr>
        <w:pStyle w:val="ListParagraph"/>
        <w:numPr>
          <w:ilvl w:val="0"/>
          <w:numId w:val="3"/>
        </w:numPr>
      </w:pPr>
      <w:r>
        <w:t>Experiences of workplaces</w:t>
      </w:r>
    </w:p>
    <w:p w:rsidR="00160372" w:rsidP="6E7E4CE9" w:rsidRDefault="00160372" w14:paraId="37E9DE0E" w14:textId="6E5AC5E3">
      <w:pPr>
        <w:pStyle w:val="ListParagraph"/>
        <w:numPr>
          <w:ilvl w:val="0"/>
          <w:numId w:val="3"/>
        </w:numPr>
      </w:pPr>
      <w:r>
        <w:t>Encounters with further and higher education</w:t>
      </w:r>
      <w:r w:rsidR="009B1557">
        <w:t xml:space="preserve"> (including vocational training providers)</w:t>
      </w:r>
    </w:p>
    <w:p w:rsidR="00160372" w:rsidP="6E7E4CE9" w:rsidRDefault="00160372" w14:paraId="2BF253B0" w14:textId="083A6C8E">
      <w:pPr>
        <w:pStyle w:val="ListParagraph"/>
        <w:numPr>
          <w:ilvl w:val="0"/>
          <w:numId w:val="3"/>
        </w:numPr>
      </w:pPr>
      <w:r>
        <w:t>Personal guidance</w:t>
      </w:r>
    </w:p>
    <w:p w:rsidR="00160372" w:rsidP="00160372" w:rsidRDefault="009B1557" w14:paraId="1BFDF6EC" w14:textId="67931E06">
      <w:r>
        <w:t>The vision for our Careers Programme is to provide the best opportunities for our students to make informed and incisive decisions throughout and beyond their college life.  By using these frameworks for best practice, we have created a Careers Programme that provides for the ever-changing needs of our diverse cohort of students, providers, and the economic landscape.  Our programme promotes equality of opportunity, celebrates diversity and challenges stereotypes, whilst inspiring, raising aspirations and giving our students an optimistic outlook on life and their place in the world of modern work.</w:t>
      </w:r>
      <w:r w:rsidR="00EA4C9F">
        <w:t xml:space="preserve">  Our programme supports the college mission:</w:t>
      </w:r>
    </w:p>
    <w:p w:rsidR="00EA4C9F" w:rsidP="00160372" w:rsidRDefault="00EA4C9F" w14:paraId="50D21ED3" w14:textId="05162F05">
      <w:r>
        <w:t>“To develop confident, curious, happy students ready to change the world for the better”</w:t>
      </w:r>
    </w:p>
    <w:p w:rsidR="00EA4C9F" w:rsidP="00160372" w:rsidRDefault="00EA4C9F" w14:paraId="5FD429C7" w14:textId="77777777"/>
    <w:p w:rsidR="00EA4C9F" w:rsidP="00EA4C9F" w:rsidRDefault="00EA4C9F" w14:paraId="4677D113" w14:textId="3C44AFF4">
      <w:pPr>
        <w:pStyle w:val="Heading1"/>
      </w:pPr>
      <w:r>
        <w:t>Intent</w:t>
      </w:r>
    </w:p>
    <w:p w:rsidR="00EA4C9F" w:rsidP="00160372" w:rsidRDefault="00EA4C9F" w14:paraId="6AFA7D53" w14:textId="77777777"/>
    <w:p w:rsidR="00160372" w:rsidP="00160372" w:rsidRDefault="00EA4C9F" w14:paraId="0CDAD9E1" w14:textId="06B26DCA">
      <w:r>
        <w:t xml:space="preserve">Our Careers Programme is both bespoke and unique to our </w:t>
      </w:r>
      <w:proofErr w:type="gramStart"/>
      <w:r>
        <w:t>college, and</w:t>
      </w:r>
      <w:proofErr w:type="gramEnd"/>
      <w:r>
        <w:t xml:space="preserve"> is reviewed on an annual basis to meet our students needs based on our monitoring and evaluation processes.  We are committed to providing a coherently planned and sequenced programme that reflects our college’s context and core values.  Our programme is designed to entitle all learners to develop the knowledge, skills, understanding and cultural capital they need to progress to destinations that meet their aspirations.  With this in mind, we aim to:</w:t>
      </w:r>
    </w:p>
    <w:tbl>
      <w:tblPr>
        <w:tblStyle w:val="TableGrid"/>
        <w:tblW w:w="0" w:type="auto"/>
        <w:tblLook w:val="04A0" w:firstRow="1" w:lastRow="0" w:firstColumn="1" w:lastColumn="0" w:noHBand="0" w:noVBand="1"/>
      </w:tblPr>
      <w:tblGrid>
        <w:gridCol w:w="11194"/>
        <w:gridCol w:w="1984"/>
      </w:tblGrid>
      <w:tr w:rsidR="00094EDA" w:rsidTr="6E7E4CE9" w14:paraId="3DB6B6D1" w14:textId="77777777">
        <w:tc>
          <w:tcPr>
            <w:tcW w:w="11194" w:type="dxa"/>
          </w:tcPr>
          <w:p w:rsidR="00094EDA" w:rsidP="00160372" w:rsidRDefault="00094EDA" w14:paraId="4C6F6BDC" w14:textId="36F0FB81"/>
        </w:tc>
        <w:tc>
          <w:tcPr>
            <w:tcW w:w="1984" w:type="dxa"/>
          </w:tcPr>
          <w:p w:rsidR="00094EDA" w:rsidP="00160372" w:rsidRDefault="00094EDA" w14:paraId="6989C151" w14:textId="5C8BE924">
            <w:r>
              <w:t>Gatsby Benchmarks</w:t>
            </w:r>
          </w:p>
        </w:tc>
      </w:tr>
      <w:tr w:rsidR="00094EDA" w:rsidTr="6E7E4CE9" w14:paraId="541C9D6C" w14:textId="77777777">
        <w:tc>
          <w:tcPr>
            <w:tcW w:w="11194" w:type="dxa"/>
          </w:tcPr>
          <w:p w:rsidR="00094EDA" w:rsidP="00EA4C9F" w:rsidRDefault="00094EDA" w14:paraId="25904439" w14:textId="36B20211">
            <w:r>
              <w:t>Provide impartial, high quality, independent guidance to all students</w:t>
            </w:r>
          </w:p>
        </w:tc>
        <w:tc>
          <w:tcPr>
            <w:tcW w:w="1984" w:type="dxa"/>
          </w:tcPr>
          <w:p w:rsidR="00094EDA" w:rsidP="00EA4C9F" w:rsidRDefault="00094EDA" w14:paraId="2A95FF72" w14:textId="66060470">
            <w:r>
              <w:t>8</w:t>
            </w:r>
          </w:p>
        </w:tc>
      </w:tr>
      <w:tr w:rsidR="00094EDA" w:rsidTr="6E7E4CE9" w14:paraId="0901BA2E" w14:textId="77777777">
        <w:tc>
          <w:tcPr>
            <w:tcW w:w="11194" w:type="dxa"/>
          </w:tcPr>
          <w:p w:rsidR="00094EDA" w:rsidP="00EA4C9F" w:rsidRDefault="00094EDA" w14:paraId="68D02268" w14:textId="4B71DB92">
            <w:r>
              <w:t>Contribute to strategies for raising achievement, especially by increasing motivation, attitude to learning, and attendance</w:t>
            </w:r>
          </w:p>
        </w:tc>
        <w:tc>
          <w:tcPr>
            <w:tcW w:w="1984" w:type="dxa"/>
          </w:tcPr>
          <w:p w:rsidR="00094EDA" w:rsidP="00EA4C9F" w:rsidRDefault="00094EDA" w14:paraId="13C4D862" w14:textId="6A014DC6">
            <w:r>
              <w:t>3</w:t>
            </w:r>
          </w:p>
        </w:tc>
      </w:tr>
      <w:tr w:rsidR="00094EDA" w:rsidTr="6E7E4CE9" w14:paraId="5917527E" w14:textId="77777777">
        <w:tc>
          <w:tcPr>
            <w:tcW w:w="11194" w:type="dxa"/>
          </w:tcPr>
          <w:p w:rsidR="00094EDA" w:rsidP="00EA4C9F" w:rsidRDefault="00094EDA" w14:paraId="22501BA8" w14:textId="115E16F6">
            <w:r>
              <w:t>Support inclusion, challenge stereotyping, and promote equality of opportunity</w:t>
            </w:r>
          </w:p>
        </w:tc>
        <w:tc>
          <w:tcPr>
            <w:tcW w:w="1984" w:type="dxa"/>
          </w:tcPr>
          <w:p w:rsidR="00094EDA" w:rsidP="00EA4C9F" w:rsidRDefault="00094EDA" w14:paraId="7641B530" w14:textId="7B21D79F">
            <w:r>
              <w:t>3, 4</w:t>
            </w:r>
          </w:p>
        </w:tc>
      </w:tr>
      <w:tr w:rsidR="00094EDA" w:rsidTr="6E7E4CE9" w14:paraId="4B282AF3" w14:textId="77777777">
        <w:tc>
          <w:tcPr>
            <w:tcW w:w="11194" w:type="dxa"/>
          </w:tcPr>
          <w:p w:rsidR="00094EDA" w:rsidP="00EA4C9F" w:rsidRDefault="00094EDA" w14:paraId="6EC49B90" w14:textId="16DE6986">
            <w:r>
              <w:t>Encourage participation in continued learning including higher education and apprenticeships</w:t>
            </w:r>
          </w:p>
        </w:tc>
        <w:tc>
          <w:tcPr>
            <w:tcW w:w="1984" w:type="dxa"/>
          </w:tcPr>
          <w:p w:rsidR="00094EDA" w:rsidP="00EA4C9F" w:rsidRDefault="00094EDA" w14:paraId="0790E3D1" w14:textId="3649F02F">
            <w:r>
              <w:t>7</w:t>
            </w:r>
          </w:p>
        </w:tc>
      </w:tr>
      <w:tr w:rsidR="00094EDA" w:rsidTr="6E7E4CE9" w14:paraId="3A21C3A9" w14:textId="77777777">
        <w:tc>
          <w:tcPr>
            <w:tcW w:w="11194" w:type="dxa"/>
          </w:tcPr>
          <w:p w:rsidR="00094EDA" w:rsidP="00EA4C9F" w:rsidRDefault="00094EDA" w14:paraId="5F0477E1" w14:textId="4F510266">
            <w:r>
              <w:t>Develop enterprise, leadership, and employment skills</w:t>
            </w:r>
          </w:p>
        </w:tc>
        <w:tc>
          <w:tcPr>
            <w:tcW w:w="1984" w:type="dxa"/>
          </w:tcPr>
          <w:p w:rsidR="00094EDA" w:rsidP="00EA4C9F" w:rsidRDefault="00094EDA" w14:paraId="4977D724" w14:textId="6B7F7C25">
            <w:r>
              <w:t>2, 3</w:t>
            </w:r>
          </w:p>
        </w:tc>
      </w:tr>
      <w:tr w:rsidR="00094EDA" w:rsidTr="6E7E4CE9" w14:paraId="3210187A" w14:textId="77777777">
        <w:tc>
          <w:tcPr>
            <w:tcW w:w="11194" w:type="dxa"/>
          </w:tcPr>
          <w:p w:rsidR="00094EDA" w:rsidP="00EA4C9F" w:rsidRDefault="00094EDA" w14:paraId="3C5C0715" w14:textId="34F79A72">
            <w:r>
              <w:t>Provide relevant information and guidance on the wide range of pathways available, to ensure students make appropriate choices regarding their options</w:t>
            </w:r>
          </w:p>
        </w:tc>
        <w:tc>
          <w:tcPr>
            <w:tcW w:w="1984" w:type="dxa"/>
          </w:tcPr>
          <w:p w:rsidR="00094EDA" w:rsidP="00EA4C9F" w:rsidRDefault="00094EDA" w14:paraId="31887E8E" w14:textId="42A5DF97">
            <w:r>
              <w:t>2, 3, 4, 5, 6, 7, 8</w:t>
            </w:r>
          </w:p>
        </w:tc>
      </w:tr>
      <w:tr w:rsidR="00094EDA" w:rsidTr="6E7E4CE9" w14:paraId="111EB569" w14:textId="77777777">
        <w:tc>
          <w:tcPr>
            <w:tcW w:w="11194" w:type="dxa"/>
          </w:tcPr>
          <w:p w:rsidR="00094EDA" w:rsidP="00EA4C9F" w:rsidRDefault="00094EDA" w14:paraId="2E87DFB5" w14:textId="797DE928">
            <w:r>
              <w:t>Contribute to the economic prosperity of individuals and communities</w:t>
            </w:r>
          </w:p>
        </w:tc>
        <w:tc>
          <w:tcPr>
            <w:tcW w:w="1984" w:type="dxa"/>
          </w:tcPr>
          <w:p w:rsidR="00094EDA" w:rsidP="00EA4C9F" w:rsidRDefault="00094EDA" w14:paraId="2D9DDEFF" w14:textId="316AA415">
            <w:r>
              <w:t>2, 5, 7</w:t>
            </w:r>
          </w:p>
        </w:tc>
      </w:tr>
      <w:tr w:rsidR="00094EDA" w:rsidTr="6E7E4CE9" w14:paraId="4C08B197" w14:textId="77777777">
        <w:tc>
          <w:tcPr>
            <w:tcW w:w="11194" w:type="dxa"/>
          </w:tcPr>
          <w:p w:rsidR="00094EDA" w:rsidP="00EA4C9F" w:rsidRDefault="00094EDA" w14:paraId="05183065" w14:textId="4C0FF16A">
            <w:r>
              <w:t>Meet the needs of all our students through appropriate differentiation</w:t>
            </w:r>
            <w:r w:rsidR="506270C1">
              <w:t>, ensuring all students facing additional barriers are well supported</w:t>
            </w:r>
          </w:p>
        </w:tc>
        <w:tc>
          <w:tcPr>
            <w:tcW w:w="1984" w:type="dxa"/>
          </w:tcPr>
          <w:p w:rsidR="00094EDA" w:rsidP="00EA4C9F" w:rsidRDefault="00094EDA" w14:paraId="0C0548F1" w14:textId="08CDC62B">
            <w:r>
              <w:t>3</w:t>
            </w:r>
          </w:p>
        </w:tc>
      </w:tr>
      <w:tr w:rsidR="00094EDA" w:rsidTr="6E7E4CE9" w14:paraId="2A98CE37" w14:textId="77777777">
        <w:tc>
          <w:tcPr>
            <w:tcW w:w="11194" w:type="dxa"/>
          </w:tcPr>
          <w:p w:rsidR="00094EDA" w:rsidP="00EA4C9F" w:rsidRDefault="00094EDA" w14:paraId="4A1ED16F" w14:textId="4996E7A4">
            <w:r>
              <w:t>Focus students on their future aspirations and opportunities</w:t>
            </w:r>
          </w:p>
        </w:tc>
        <w:tc>
          <w:tcPr>
            <w:tcW w:w="1984" w:type="dxa"/>
          </w:tcPr>
          <w:p w:rsidR="00094EDA" w:rsidP="00EA4C9F" w:rsidRDefault="00094EDA" w14:paraId="1B556F16" w14:textId="2EF120EE">
            <w:r>
              <w:t>3, 4, 8</w:t>
            </w:r>
          </w:p>
        </w:tc>
      </w:tr>
      <w:tr w:rsidR="00094EDA" w:rsidTr="6E7E4CE9" w14:paraId="5B5A1D38" w14:textId="77777777">
        <w:tc>
          <w:tcPr>
            <w:tcW w:w="11194" w:type="dxa"/>
          </w:tcPr>
          <w:p w:rsidR="00094EDA" w:rsidP="00EA4C9F" w:rsidRDefault="00094EDA" w14:paraId="4CF8919F" w14:textId="192CCD86">
            <w:r>
              <w:t>Involve parents and carers, and alumni</w:t>
            </w:r>
          </w:p>
        </w:tc>
        <w:tc>
          <w:tcPr>
            <w:tcW w:w="1984" w:type="dxa"/>
          </w:tcPr>
          <w:p w:rsidR="00094EDA" w:rsidP="00EA4C9F" w:rsidRDefault="00094EDA" w14:paraId="76F756ED" w14:textId="70053366">
            <w:r>
              <w:t>1, 2, 5, 6, 7</w:t>
            </w:r>
          </w:p>
        </w:tc>
      </w:tr>
      <w:tr w:rsidR="00094EDA" w:rsidTr="6E7E4CE9" w14:paraId="51CFA39A" w14:textId="77777777">
        <w:tc>
          <w:tcPr>
            <w:tcW w:w="11194" w:type="dxa"/>
          </w:tcPr>
          <w:p w:rsidR="00094EDA" w:rsidP="00EA4C9F" w:rsidRDefault="00094EDA" w14:paraId="15F7B504" w14:textId="2B4669CC">
            <w:r>
              <w:t>Meet the needs of our current cohort of students in both year groups</w:t>
            </w:r>
          </w:p>
        </w:tc>
        <w:tc>
          <w:tcPr>
            <w:tcW w:w="1984" w:type="dxa"/>
          </w:tcPr>
          <w:p w:rsidR="00094EDA" w:rsidP="00EA4C9F" w:rsidRDefault="00094EDA" w14:paraId="5AE81173" w14:textId="7723C169">
            <w:r>
              <w:t>1, 3</w:t>
            </w:r>
          </w:p>
        </w:tc>
      </w:tr>
      <w:tr w:rsidR="00094EDA" w:rsidTr="6E7E4CE9" w14:paraId="7E7DE93A" w14:textId="77777777">
        <w:tc>
          <w:tcPr>
            <w:tcW w:w="11194" w:type="dxa"/>
          </w:tcPr>
          <w:p w:rsidR="00094EDA" w:rsidP="00EA4C9F" w:rsidRDefault="00094EDA" w14:paraId="22B4C6FF" w14:textId="2281C7F5">
            <w:r>
              <w:t>Use current LMI to enable students, parents and staff to engage actively with local and national careers information so that they can increase their knowledge and understanding of the world of modern work</w:t>
            </w:r>
          </w:p>
        </w:tc>
        <w:tc>
          <w:tcPr>
            <w:tcW w:w="1984" w:type="dxa"/>
          </w:tcPr>
          <w:p w:rsidR="00094EDA" w:rsidP="00EA4C9F" w:rsidRDefault="00094EDA" w14:paraId="0C42EC46" w14:textId="237119E2">
            <w:r>
              <w:t>1, 2, 3</w:t>
            </w:r>
          </w:p>
        </w:tc>
      </w:tr>
      <w:tr w:rsidR="00094EDA" w:rsidTr="6E7E4CE9" w14:paraId="559E1E7A" w14:textId="77777777">
        <w:tc>
          <w:tcPr>
            <w:tcW w:w="11194" w:type="dxa"/>
          </w:tcPr>
          <w:p w:rsidR="00094EDA" w:rsidP="00EA4C9F" w:rsidRDefault="00094EDA" w14:paraId="764AE855" w14:textId="3BE99F08">
            <w:r>
              <w:t>Use feedback from all our stakeholders to reflect on our careers provision and to develop our future careers programme</w:t>
            </w:r>
          </w:p>
        </w:tc>
        <w:tc>
          <w:tcPr>
            <w:tcW w:w="1984" w:type="dxa"/>
          </w:tcPr>
          <w:p w:rsidR="00094EDA" w:rsidP="00EA4C9F" w:rsidRDefault="00094EDA" w14:paraId="32BFF7E5" w14:textId="25F44D67">
            <w:r>
              <w:t>1, 2, 3</w:t>
            </w:r>
          </w:p>
        </w:tc>
      </w:tr>
      <w:tr w:rsidR="00094EDA" w:rsidTr="6E7E4CE9" w14:paraId="6F43738B" w14:textId="77777777">
        <w:tc>
          <w:tcPr>
            <w:tcW w:w="11194" w:type="dxa"/>
          </w:tcPr>
          <w:p w:rsidR="00094EDA" w:rsidP="00EA4C9F" w:rsidRDefault="00094EDA" w14:paraId="440035AC" w14:textId="34038E72">
            <w:r>
              <w:t>Provide targeted support to students facing additional barriers, including but not limited to SEND, LAC, FCM, Bursary</w:t>
            </w:r>
          </w:p>
        </w:tc>
        <w:tc>
          <w:tcPr>
            <w:tcW w:w="1984" w:type="dxa"/>
          </w:tcPr>
          <w:p w:rsidR="00094EDA" w:rsidP="00EA4C9F" w:rsidRDefault="00094EDA" w14:paraId="5717E884" w14:textId="0F038F9A">
            <w:r>
              <w:t>1, 3, 8</w:t>
            </w:r>
          </w:p>
        </w:tc>
      </w:tr>
      <w:tr w:rsidR="00094EDA" w:rsidTr="6E7E4CE9" w14:paraId="506B0571" w14:textId="77777777">
        <w:tc>
          <w:tcPr>
            <w:tcW w:w="11194" w:type="dxa"/>
          </w:tcPr>
          <w:p w:rsidR="00094EDA" w:rsidP="00EA4C9F" w:rsidRDefault="00094EDA" w14:paraId="08D2CB11" w14:textId="336239A0">
            <w:r>
              <w:t>Ensure all stakeholders have a clear understanding of our careers programme, rationale and vision</w:t>
            </w:r>
          </w:p>
        </w:tc>
        <w:tc>
          <w:tcPr>
            <w:tcW w:w="1984" w:type="dxa"/>
          </w:tcPr>
          <w:p w:rsidR="00094EDA" w:rsidP="00EA4C9F" w:rsidRDefault="00094EDA" w14:paraId="19C51189" w14:textId="5A498777">
            <w:r>
              <w:t>1</w:t>
            </w:r>
          </w:p>
        </w:tc>
      </w:tr>
    </w:tbl>
    <w:p w:rsidR="00EA4C9F" w:rsidP="00160372" w:rsidRDefault="00EA4C9F" w14:paraId="28DE7588" w14:textId="77777777"/>
    <w:p w:rsidR="00D71BB1" w:rsidP="00160372" w:rsidRDefault="00D71BB1" w14:paraId="3CE46C91" w14:textId="77777777"/>
    <w:p w:rsidR="00160372" w:rsidP="00094EDA" w:rsidRDefault="00094EDA" w14:paraId="7330295E" w14:textId="385C1C34">
      <w:pPr>
        <w:pStyle w:val="Heading1"/>
      </w:pPr>
      <w:r>
        <w:t>Implementation</w:t>
      </w:r>
    </w:p>
    <w:p w:rsidR="00094EDA" w:rsidP="00160372" w:rsidRDefault="00094EDA" w14:paraId="2526FCD1" w14:textId="77777777"/>
    <w:p w:rsidR="00D020F2" w:rsidP="00160372" w:rsidRDefault="00D020F2" w14:paraId="686363C2" w14:textId="0F6DBB14">
      <w:r>
        <w:t>Our Careers Programme is delivered through bespoke activities and events, the Skills &amp; Progression tutorial programme, the subject curriculum, and the college’s extensive Enrichment Programme.  We work with a wide range of external organisations, employers and employees, alumni, individuals, and universities throughout the year.</w:t>
      </w:r>
    </w:p>
    <w:p w:rsidRPr="00121816" w:rsidR="00121816" w:rsidP="00160372" w:rsidRDefault="00121816" w14:paraId="6703C200" w14:textId="4A846D1E">
      <w:pPr>
        <w:rPr>
          <w:rStyle w:val="BookTitle"/>
        </w:rPr>
      </w:pPr>
      <w:r w:rsidRPr="00121816">
        <w:rPr>
          <w:rStyle w:val="BookTitle"/>
        </w:rPr>
        <w:t>Pre-enrolment</w:t>
      </w:r>
    </w:p>
    <w:p w:rsidRPr="007F7EC9" w:rsidR="00121816" w:rsidP="00160372" w:rsidRDefault="00121816" w14:paraId="73D321BE" w14:textId="4297CC66">
      <w:pPr>
        <w:rPr>
          <w:rStyle w:val="BookTitle"/>
        </w:rPr>
      </w:pPr>
      <w:r>
        <w:t>The college holds 3 Open Days during the year, where prospective students and their families are able to visit the college to find out more about the courses and</w:t>
      </w:r>
      <w:r w:rsidRPr="1A081EE7">
        <w:rPr>
          <w:b/>
          <w:bCs/>
          <w:i/>
          <w:iCs/>
        </w:rPr>
        <w:t xml:space="preserve"> </w:t>
      </w:r>
      <w:proofErr w:type="gramStart"/>
      <w:r w:rsidRPr="1A081EE7" w:rsidR="3751F3DB">
        <w:rPr>
          <w:rStyle w:val="BookTitle"/>
          <w:b w:val="0"/>
          <w:bCs w:val="0"/>
          <w:i w:val="0"/>
          <w:iCs w:val="0"/>
        </w:rPr>
        <w:t>experience</w:t>
      </w:r>
      <w:proofErr w:type="gramEnd"/>
      <w:r w:rsidRPr="1A081EE7">
        <w:rPr>
          <w:rStyle w:val="BookTitle"/>
          <w:b w:val="0"/>
          <w:bCs w:val="0"/>
          <w:i w:val="0"/>
          <w:iCs w:val="0"/>
        </w:rPr>
        <w:t xml:space="preserve"> we offer.  Members of the Careers Team are available to discuss pathways, subject choices, and to give information and advice.</w:t>
      </w:r>
    </w:p>
    <w:p w:rsidR="7B7189AF" w:rsidP="6E7E4CE9" w:rsidRDefault="7B7189AF" w14:paraId="31F43FD0" w14:textId="1DE31E49">
      <w:pPr>
        <w:rPr>
          <w:rStyle w:val="BookTitle"/>
          <w:b w:val="0"/>
          <w:bCs w:val="0"/>
          <w:i w:val="0"/>
          <w:iCs w:val="0"/>
        </w:rPr>
      </w:pPr>
      <w:r w:rsidRPr="6E7E4CE9">
        <w:rPr>
          <w:rStyle w:val="BookTitle"/>
          <w:rFonts w:eastAsiaTheme="minorEastAsia"/>
        </w:rPr>
        <w:t xml:space="preserve">Both Year </w:t>
      </w:r>
      <w:r w:rsidRPr="6E7E4CE9">
        <w:rPr>
          <w:rStyle w:val="BookTitle"/>
        </w:rPr>
        <w:t>Groups</w:t>
      </w:r>
    </w:p>
    <w:tbl>
      <w:tblPr>
        <w:tblStyle w:val="TableGrid"/>
        <w:tblW w:w="0" w:type="auto"/>
        <w:tblLook w:val="04A0" w:firstRow="1" w:lastRow="0" w:firstColumn="1" w:lastColumn="0" w:noHBand="0" w:noVBand="1"/>
      </w:tblPr>
      <w:tblGrid>
        <w:gridCol w:w="1028"/>
        <w:gridCol w:w="1852"/>
        <w:gridCol w:w="3029"/>
        <w:gridCol w:w="6448"/>
        <w:gridCol w:w="1591"/>
      </w:tblGrid>
      <w:tr w:rsidR="6E7E4CE9" w:rsidTr="0FAFD9D7" w14:paraId="5EB5A649" w14:textId="77777777">
        <w:trPr>
          <w:trHeight w:val="300"/>
        </w:trPr>
        <w:tc>
          <w:tcPr>
            <w:tcW w:w="1035" w:type="dxa"/>
          </w:tcPr>
          <w:p w:rsidR="6E7E4CE9" w:rsidRDefault="6E7E4CE9" w14:paraId="131F9061" w14:textId="1AB1C8B2">
            <w:r>
              <w:t>Term</w:t>
            </w:r>
          </w:p>
        </w:tc>
        <w:tc>
          <w:tcPr>
            <w:tcW w:w="1856" w:type="dxa"/>
          </w:tcPr>
          <w:p w:rsidR="6E7E4CE9" w:rsidRDefault="6E7E4CE9" w14:paraId="40A7F16F" w14:textId="4AAA3BE6">
            <w:r>
              <w:t>Delivery type</w:t>
            </w:r>
          </w:p>
        </w:tc>
        <w:tc>
          <w:tcPr>
            <w:tcW w:w="3058" w:type="dxa"/>
          </w:tcPr>
          <w:p w:rsidR="6E7E4CE9" w:rsidRDefault="6E7E4CE9" w14:paraId="066A3ACB" w14:textId="1A6EE676">
            <w:r>
              <w:t>Activity</w:t>
            </w:r>
          </w:p>
        </w:tc>
        <w:tc>
          <w:tcPr>
            <w:tcW w:w="6540" w:type="dxa"/>
          </w:tcPr>
          <w:p w:rsidR="6E7E4CE9" w:rsidRDefault="6E7E4CE9" w14:paraId="3B0C7F25" w14:textId="7AF56C52">
            <w:r>
              <w:t>Intended Learning Outcomes</w:t>
            </w:r>
          </w:p>
        </w:tc>
        <w:tc>
          <w:tcPr>
            <w:tcW w:w="1596" w:type="dxa"/>
          </w:tcPr>
          <w:p w:rsidR="6E7E4CE9" w:rsidRDefault="6E7E4CE9" w14:paraId="7BB4F365" w14:textId="5CD9424B">
            <w:r>
              <w:t>Gatsby Benchmarks</w:t>
            </w:r>
          </w:p>
        </w:tc>
      </w:tr>
      <w:tr w:rsidR="6E7E4CE9" w:rsidTr="0FAFD9D7" w14:paraId="1922F412" w14:textId="77777777">
        <w:trPr>
          <w:trHeight w:val="300"/>
        </w:trPr>
        <w:tc>
          <w:tcPr>
            <w:tcW w:w="1035" w:type="dxa"/>
            <w:vMerge w:val="restart"/>
          </w:tcPr>
          <w:p w:rsidR="6E7E4CE9" w:rsidRDefault="6E7E4CE9" w14:paraId="3C9AA8D9" w14:textId="48B7758B">
            <w:r>
              <w:t>All year</w:t>
            </w:r>
          </w:p>
        </w:tc>
        <w:tc>
          <w:tcPr>
            <w:tcW w:w="1856" w:type="dxa"/>
          </w:tcPr>
          <w:p w:rsidR="6E7E4CE9" w:rsidRDefault="6E7E4CE9" w14:paraId="28E2E2BD" w14:textId="16A5961B">
            <w:r>
              <w:t>Individual</w:t>
            </w:r>
          </w:p>
        </w:tc>
        <w:tc>
          <w:tcPr>
            <w:tcW w:w="3058" w:type="dxa"/>
          </w:tcPr>
          <w:p w:rsidR="6E7E4CE9" w:rsidRDefault="7F7961F1" w14:paraId="7D4F515C" w14:textId="351721A0">
            <w:r>
              <w:t xml:space="preserve">Bookable 1:1 careers guidance </w:t>
            </w:r>
            <w:bookmarkStart w:name="_Int_l51kfdMi" w:id="0"/>
            <w:proofErr w:type="gramStart"/>
            <w:r>
              <w:t>discussions</w:t>
            </w:r>
            <w:bookmarkEnd w:id="0"/>
            <w:proofErr w:type="gramEnd"/>
            <w:r>
              <w:t xml:space="preserve"> with a qualified Careers Adviser</w:t>
            </w:r>
          </w:p>
        </w:tc>
        <w:tc>
          <w:tcPr>
            <w:tcW w:w="6540" w:type="dxa"/>
          </w:tcPr>
          <w:p w:rsidR="6E7E4CE9" w:rsidRDefault="6E7E4CE9" w14:paraId="369E5DB2" w14:textId="473565FE">
            <w:r>
              <w:t>Students access personalised, high quality, impartial guidance to help them consider and plan their next steps</w:t>
            </w:r>
          </w:p>
        </w:tc>
        <w:tc>
          <w:tcPr>
            <w:tcW w:w="1596" w:type="dxa"/>
          </w:tcPr>
          <w:p w:rsidR="6E7E4CE9" w:rsidRDefault="6E7E4CE9" w14:paraId="0688D5AD" w14:textId="6696AA19">
            <w:r>
              <w:t>8</w:t>
            </w:r>
          </w:p>
        </w:tc>
      </w:tr>
      <w:tr w:rsidR="6E7E4CE9" w:rsidTr="0FAFD9D7" w14:paraId="3B2A8333" w14:textId="77777777">
        <w:trPr>
          <w:trHeight w:val="300"/>
        </w:trPr>
        <w:tc>
          <w:tcPr>
            <w:tcW w:w="1035" w:type="dxa"/>
            <w:vMerge/>
          </w:tcPr>
          <w:p w:rsidR="00481727" w:rsidRDefault="00481727" w14:paraId="6E51742F" w14:textId="77777777"/>
        </w:tc>
        <w:tc>
          <w:tcPr>
            <w:tcW w:w="1856" w:type="dxa"/>
          </w:tcPr>
          <w:p w:rsidR="21402916" w:rsidP="6E7E4CE9" w:rsidRDefault="21402916" w14:paraId="0DD8BE00" w14:textId="270CEB7A">
            <w:r>
              <w:t>Individual</w:t>
            </w:r>
          </w:p>
        </w:tc>
        <w:tc>
          <w:tcPr>
            <w:tcW w:w="3058" w:type="dxa"/>
          </w:tcPr>
          <w:p w:rsidR="21402916" w:rsidP="6E7E4CE9" w:rsidRDefault="21402916" w14:paraId="0F7E03F1" w14:textId="438FCAE5">
            <w:r>
              <w:t>Identify students facing additional barriers to progression</w:t>
            </w:r>
          </w:p>
        </w:tc>
        <w:tc>
          <w:tcPr>
            <w:tcW w:w="6540" w:type="dxa"/>
          </w:tcPr>
          <w:p w:rsidR="21402916" w:rsidP="6E7E4CE9" w:rsidRDefault="21402916" w14:paraId="064BFB0B" w14:textId="20D93E50">
            <w:r>
              <w:t xml:space="preserve">Our cohort is diverse, and those facing additional barriers (including but not limited to: SEND, LAC, </w:t>
            </w:r>
            <w:r w:rsidR="0423E7F3">
              <w:t>enrolled with below required grades, at risk of NEET) are identified and offered 1:1 guidance with our Careers Adviser</w:t>
            </w:r>
          </w:p>
        </w:tc>
        <w:tc>
          <w:tcPr>
            <w:tcW w:w="1596" w:type="dxa"/>
          </w:tcPr>
          <w:p w:rsidR="0592D0DF" w:rsidP="6E7E4CE9" w:rsidRDefault="0592D0DF" w14:paraId="16988A71" w14:textId="69B35ED2">
            <w:r>
              <w:t>3, 8</w:t>
            </w:r>
          </w:p>
        </w:tc>
      </w:tr>
      <w:tr w:rsidR="6E7E4CE9" w:rsidTr="0FAFD9D7" w14:paraId="0CCCD611" w14:textId="77777777">
        <w:trPr>
          <w:trHeight w:val="300"/>
        </w:trPr>
        <w:tc>
          <w:tcPr>
            <w:tcW w:w="1035" w:type="dxa"/>
            <w:vMerge/>
          </w:tcPr>
          <w:p w:rsidR="00481727" w:rsidRDefault="00481727" w14:paraId="628213F0" w14:textId="77777777"/>
        </w:tc>
        <w:tc>
          <w:tcPr>
            <w:tcW w:w="1856" w:type="dxa"/>
          </w:tcPr>
          <w:p w:rsidR="6E7E4CE9" w:rsidRDefault="6E7E4CE9" w14:paraId="4835DA27" w14:textId="66CE64A6">
            <w:r>
              <w:t>Individual</w:t>
            </w:r>
          </w:p>
        </w:tc>
        <w:tc>
          <w:tcPr>
            <w:tcW w:w="3058" w:type="dxa"/>
          </w:tcPr>
          <w:p w:rsidR="6E7E4CE9" w:rsidRDefault="6E7E4CE9" w14:paraId="3A2257E6" w14:textId="2EFCA01C">
            <w:r>
              <w:t>Bookable 1:1 work experience discussions with our Work Experience Coordinator</w:t>
            </w:r>
          </w:p>
        </w:tc>
        <w:tc>
          <w:tcPr>
            <w:tcW w:w="6540" w:type="dxa"/>
          </w:tcPr>
          <w:p w:rsidR="6E7E4CE9" w:rsidRDefault="6E7E4CE9" w14:paraId="72EBB4FA" w14:textId="58FCE20B">
            <w:r>
              <w:t>Students access personalised, impartial advice and information for finding meaningful work experience, and understand the college process</w:t>
            </w:r>
          </w:p>
        </w:tc>
        <w:tc>
          <w:tcPr>
            <w:tcW w:w="1596" w:type="dxa"/>
          </w:tcPr>
          <w:p w:rsidR="4021F8D8" w:rsidRDefault="4021F8D8" w14:paraId="1A0B3568" w14:textId="6EE30371">
            <w:r>
              <w:t xml:space="preserve">1, </w:t>
            </w:r>
            <w:r w:rsidR="29E1AB63">
              <w:t>2, 3</w:t>
            </w:r>
          </w:p>
        </w:tc>
      </w:tr>
      <w:tr w:rsidR="6E7E4CE9" w:rsidTr="0FAFD9D7" w14:paraId="1D07AE8E" w14:textId="77777777">
        <w:trPr>
          <w:trHeight w:val="300"/>
        </w:trPr>
        <w:tc>
          <w:tcPr>
            <w:tcW w:w="1035" w:type="dxa"/>
            <w:vMerge/>
          </w:tcPr>
          <w:p w:rsidR="00481727" w:rsidRDefault="00481727" w14:paraId="6E5FF0F9" w14:textId="77777777"/>
        </w:tc>
        <w:tc>
          <w:tcPr>
            <w:tcW w:w="1856" w:type="dxa"/>
          </w:tcPr>
          <w:p w:rsidR="00290D91" w:rsidRDefault="00290D91" w14:paraId="7F2A0F1B" w14:textId="66CE64A6">
            <w:r>
              <w:t>Individual</w:t>
            </w:r>
          </w:p>
          <w:p w:rsidR="6E7E4CE9" w:rsidP="6E7E4CE9" w:rsidRDefault="6E7E4CE9" w14:paraId="37814B03" w14:textId="12DA94AA"/>
        </w:tc>
        <w:tc>
          <w:tcPr>
            <w:tcW w:w="3058" w:type="dxa"/>
          </w:tcPr>
          <w:p w:rsidR="00290D91" w:rsidP="6E7E4CE9" w:rsidRDefault="00290D91" w14:paraId="46E6B20E" w14:textId="13CC2233">
            <w:r>
              <w:t>Bookable 1:1 apprenticeship and employability discussions with our Employability Coordinator</w:t>
            </w:r>
          </w:p>
        </w:tc>
        <w:tc>
          <w:tcPr>
            <w:tcW w:w="6540" w:type="dxa"/>
          </w:tcPr>
          <w:p w:rsidR="00290D91" w:rsidP="6E7E4CE9" w:rsidRDefault="00290D91" w14:paraId="44379354" w14:textId="6081AA00">
            <w:r>
              <w:t>Students access personalised, impartial advice and information on apprenticeships and training programmes</w:t>
            </w:r>
          </w:p>
        </w:tc>
        <w:tc>
          <w:tcPr>
            <w:tcW w:w="1596" w:type="dxa"/>
          </w:tcPr>
          <w:p w:rsidR="5FEAE4C2" w:rsidP="6E7E4CE9" w:rsidRDefault="5FEAE4C2" w14:paraId="4621B078" w14:textId="67328DE9">
            <w:r>
              <w:t xml:space="preserve">1, </w:t>
            </w:r>
            <w:r w:rsidR="1B78AD16">
              <w:t>2, 3</w:t>
            </w:r>
          </w:p>
        </w:tc>
      </w:tr>
      <w:tr w:rsidR="6E7E4CE9" w:rsidTr="0FAFD9D7" w14:paraId="12C11CBB" w14:textId="77777777">
        <w:trPr>
          <w:trHeight w:val="300"/>
        </w:trPr>
        <w:tc>
          <w:tcPr>
            <w:tcW w:w="1035" w:type="dxa"/>
            <w:vMerge/>
          </w:tcPr>
          <w:p w:rsidR="00481727" w:rsidRDefault="00481727" w14:paraId="7A921BF4" w14:textId="77777777"/>
        </w:tc>
        <w:tc>
          <w:tcPr>
            <w:tcW w:w="1856" w:type="dxa"/>
          </w:tcPr>
          <w:p w:rsidR="6E7E4CE9" w:rsidRDefault="6E7E4CE9" w14:paraId="74513E08" w14:textId="2A6CF345">
            <w:r>
              <w:t>Speaker</w:t>
            </w:r>
          </w:p>
        </w:tc>
        <w:tc>
          <w:tcPr>
            <w:tcW w:w="3058" w:type="dxa"/>
          </w:tcPr>
          <w:p w:rsidR="6E7E4CE9" w:rsidRDefault="6E7E4CE9" w14:paraId="08280BB5" w14:textId="31665C3C">
            <w:r>
              <w:t>A range of speakers deliver subject related talks in curriculum areas</w:t>
            </w:r>
          </w:p>
        </w:tc>
        <w:tc>
          <w:tcPr>
            <w:tcW w:w="6540" w:type="dxa"/>
          </w:tcPr>
          <w:p w:rsidR="6E7E4CE9" w:rsidRDefault="6E7E4CE9" w14:paraId="16958F74" w14:textId="5169184A">
            <w:r>
              <w:t>Students learn about how their subject links to different roles and the pathways for progressing to those roles</w:t>
            </w:r>
          </w:p>
        </w:tc>
        <w:tc>
          <w:tcPr>
            <w:tcW w:w="1596" w:type="dxa"/>
          </w:tcPr>
          <w:p w:rsidR="4D600842" w:rsidRDefault="4D600842" w14:paraId="57E813B4" w14:textId="21BAADB5">
            <w:r>
              <w:t xml:space="preserve">1, </w:t>
            </w:r>
            <w:r w:rsidR="1023F9E1">
              <w:t xml:space="preserve">2, </w:t>
            </w:r>
            <w:r w:rsidR="45EC7EA4">
              <w:t>4, 5, 7</w:t>
            </w:r>
          </w:p>
        </w:tc>
      </w:tr>
      <w:tr w:rsidR="6E7E4CE9" w:rsidTr="0FAFD9D7" w14:paraId="39305D70" w14:textId="77777777">
        <w:trPr>
          <w:trHeight w:val="300"/>
        </w:trPr>
        <w:tc>
          <w:tcPr>
            <w:tcW w:w="1035" w:type="dxa"/>
            <w:vMerge/>
          </w:tcPr>
          <w:p w:rsidR="00481727" w:rsidRDefault="00481727" w14:paraId="46DAE146" w14:textId="77777777"/>
        </w:tc>
        <w:tc>
          <w:tcPr>
            <w:tcW w:w="1856" w:type="dxa"/>
          </w:tcPr>
          <w:p w:rsidR="6E7E4CE9" w:rsidRDefault="6E7E4CE9" w14:paraId="2E5AB27B" w14:textId="76842807">
            <w:r>
              <w:t>Speaker</w:t>
            </w:r>
          </w:p>
        </w:tc>
        <w:tc>
          <w:tcPr>
            <w:tcW w:w="3058" w:type="dxa"/>
          </w:tcPr>
          <w:p w:rsidR="6E7E4CE9" w:rsidRDefault="6E7E4CE9" w14:paraId="4F47D473" w14:textId="75705DB5">
            <w:r>
              <w:t>A range of speakers are invited by the Careers team to deliver lunchtime talks</w:t>
            </w:r>
          </w:p>
        </w:tc>
        <w:tc>
          <w:tcPr>
            <w:tcW w:w="6540" w:type="dxa"/>
          </w:tcPr>
          <w:p w:rsidR="6E7E4CE9" w:rsidRDefault="6E7E4CE9" w14:paraId="14811174" w14:textId="2F577B32">
            <w:r>
              <w:t xml:space="preserve">All students </w:t>
            </w:r>
            <w:proofErr w:type="gramStart"/>
            <w:r>
              <w:t>are able to</w:t>
            </w:r>
            <w:proofErr w:type="gramEnd"/>
            <w:r>
              <w:t xml:space="preserve"> find out more about specific job roles, employers and pathways and to engage with employees</w:t>
            </w:r>
          </w:p>
        </w:tc>
        <w:tc>
          <w:tcPr>
            <w:tcW w:w="1596" w:type="dxa"/>
          </w:tcPr>
          <w:p w:rsidR="5125CCD5" w:rsidRDefault="5125CCD5" w14:paraId="31611572" w14:textId="31C17817">
            <w:r>
              <w:t xml:space="preserve">1, </w:t>
            </w:r>
            <w:r w:rsidR="0FA0B391">
              <w:t xml:space="preserve">2, 3, </w:t>
            </w:r>
            <w:r w:rsidR="600F901E">
              <w:t>5, 7</w:t>
            </w:r>
          </w:p>
        </w:tc>
      </w:tr>
      <w:tr w:rsidR="6E7E4CE9" w:rsidTr="0FAFD9D7" w14:paraId="2F571294" w14:textId="77777777">
        <w:trPr>
          <w:trHeight w:val="300"/>
        </w:trPr>
        <w:tc>
          <w:tcPr>
            <w:tcW w:w="1035" w:type="dxa"/>
            <w:vMerge/>
          </w:tcPr>
          <w:p w:rsidR="00481727" w:rsidRDefault="00481727" w14:paraId="23D76E01" w14:textId="77777777"/>
        </w:tc>
        <w:tc>
          <w:tcPr>
            <w:tcW w:w="1856" w:type="dxa"/>
          </w:tcPr>
          <w:p w:rsidR="6E7E4CE9" w:rsidRDefault="6E7E4CE9" w14:paraId="4EABEB84" w14:textId="51BA7979">
            <w:r>
              <w:t>Visit</w:t>
            </w:r>
          </w:p>
        </w:tc>
        <w:tc>
          <w:tcPr>
            <w:tcW w:w="3058" w:type="dxa"/>
          </w:tcPr>
          <w:p w:rsidR="6E7E4CE9" w:rsidRDefault="6E7E4CE9" w14:paraId="4F9C2852" w14:textId="31E78EE6">
            <w:r>
              <w:t>A range of visits through curriculum areas to universities and employers</w:t>
            </w:r>
          </w:p>
        </w:tc>
        <w:tc>
          <w:tcPr>
            <w:tcW w:w="6540" w:type="dxa"/>
          </w:tcPr>
          <w:p w:rsidR="6E7E4CE9" w:rsidRDefault="6E7E4CE9" w14:paraId="2E086F3D" w14:textId="51FF1908">
            <w:r>
              <w:t>Students learn from universities and employers about progressing within their subject area, pathways into different roles, and skills development</w:t>
            </w:r>
          </w:p>
        </w:tc>
        <w:tc>
          <w:tcPr>
            <w:tcW w:w="1596" w:type="dxa"/>
          </w:tcPr>
          <w:p w:rsidR="10652AD2" w:rsidRDefault="10652AD2" w14:paraId="3F392BCE" w14:textId="5975AF9E">
            <w:r>
              <w:t>1, 2, 3, 4, 5, 7</w:t>
            </w:r>
          </w:p>
        </w:tc>
      </w:tr>
      <w:tr w:rsidR="6E7E4CE9" w:rsidTr="0FAFD9D7" w14:paraId="06AAE2F5" w14:textId="77777777">
        <w:trPr>
          <w:trHeight w:val="300"/>
        </w:trPr>
        <w:tc>
          <w:tcPr>
            <w:tcW w:w="1035" w:type="dxa"/>
            <w:vMerge/>
          </w:tcPr>
          <w:p w:rsidR="00481727" w:rsidRDefault="00481727" w14:paraId="03A54F65" w14:textId="77777777"/>
        </w:tc>
        <w:tc>
          <w:tcPr>
            <w:tcW w:w="1856" w:type="dxa"/>
          </w:tcPr>
          <w:p w:rsidR="6E7E4CE9" w:rsidRDefault="6E7E4CE9" w14:paraId="6CCB88C6" w14:textId="6182D38F">
            <w:r>
              <w:t>Visit</w:t>
            </w:r>
          </w:p>
        </w:tc>
        <w:tc>
          <w:tcPr>
            <w:tcW w:w="3058" w:type="dxa"/>
          </w:tcPr>
          <w:p w:rsidR="6E7E4CE9" w:rsidRDefault="6E7E4CE9" w14:paraId="34F61B8C" w14:textId="273CBFDC">
            <w:r>
              <w:t>A range of visits related to employability and the world of work</w:t>
            </w:r>
          </w:p>
        </w:tc>
        <w:tc>
          <w:tcPr>
            <w:tcW w:w="6540" w:type="dxa"/>
          </w:tcPr>
          <w:p w:rsidR="6E7E4CE9" w:rsidRDefault="6E7E4CE9" w14:paraId="3C31EE27" w14:textId="070AEA7B">
            <w:r>
              <w:t>Students gain experience of a workplace and/or engage with employers to support with their career decision making</w:t>
            </w:r>
          </w:p>
        </w:tc>
        <w:tc>
          <w:tcPr>
            <w:tcW w:w="1596" w:type="dxa"/>
          </w:tcPr>
          <w:p w:rsidR="1BE9057B" w:rsidRDefault="1BE9057B" w14:paraId="08987AB0" w14:textId="01B5C69B">
            <w:r>
              <w:t>1, 2, 3, 5, 6, 7</w:t>
            </w:r>
          </w:p>
        </w:tc>
      </w:tr>
      <w:tr w:rsidR="6E7E4CE9" w:rsidTr="0FAFD9D7" w14:paraId="2D0B0AAF" w14:textId="77777777">
        <w:trPr>
          <w:trHeight w:val="300"/>
        </w:trPr>
        <w:tc>
          <w:tcPr>
            <w:tcW w:w="1035" w:type="dxa"/>
            <w:vMerge/>
          </w:tcPr>
          <w:p w:rsidR="00481727" w:rsidRDefault="00481727" w14:paraId="6C2FAC62" w14:textId="77777777"/>
        </w:tc>
        <w:tc>
          <w:tcPr>
            <w:tcW w:w="1856" w:type="dxa"/>
          </w:tcPr>
          <w:p w:rsidR="6E7E4CE9" w:rsidRDefault="6E7E4CE9" w14:paraId="26F100C9" w14:textId="60CF7A5A">
            <w:r>
              <w:t>Communication</w:t>
            </w:r>
          </w:p>
        </w:tc>
        <w:tc>
          <w:tcPr>
            <w:tcW w:w="3058" w:type="dxa"/>
          </w:tcPr>
          <w:p w:rsidR="6E7E4CE9" w:rsidRDefault="6E7E4CE9" w14:paraId="27A3C3B8" w14:textId="0CB9379A">
            <w:r>
              <w:t xml:space="preserve">Careers </w:t>
            </w:r>
            <w:proofErr w:type="spellStart"/>
            <w:r>
              <w:t>Padlets</w:t>
            </w:r>
            <w:proofErr w:type="spellEnd"/>
          </w:p>
        </w:tc>
        <w:tc>
          <w:tcPr>
            <w:tcW w:w="6540" w:type="dxa"/>
          </w:tcPr>
          <w:p w:rsidR="6E7E4CE9" w:rsidRDefault="6E7E4CE9" w14:paraId="78188412" w14:textId="4838E2F5">
            <w:r>
              <w:t xml:space="preserve">Students and parents can access </w:t>
            </w:r>
            <w:r w:rsidR="1075F718">
              <w:t xml:space="preserve">the latest news and opportunities, and </w:t>
            </w:r>
            <w:r w:rsidR="3708AC54">
              <w:t>high-quality</w:t>
            </w:r>
            <w:r>
              <w:t xml:space="preserve"> resources related to all aspects of Career from a range of providers</w:t>
            </w:r>
          </w:p>
        </w:tc>
        <w:tc>
          <w:tcPr>
            <w:tcW w:w="1596" w:type="dxa"/>
          </w:tcPr>
          <w:p w:rsidR="560E0C47" w:rsidRDefault="560E0C47" w14:paraId="48DB43C0" w14:textId="7907C6BD">
            <w:r>
              <w:t>1, 2</w:t>
            </w:r>
          </w:p>
        </w:tc>
      </w:tr>
      <w:tr w:rsidR="0FAFD9D7" w:rsidTr="0FAFD9D7" w14:paraId="015F7113" w14:textId="77777777">
        <w:trPr>
          <w:trHeight w:val="300"/>
        </w:trPr>
        <w:tc>
          <w:tcPr>
            <w:tcW w:w="1027" w:type="dxa"/>
          </w:tcPr>
          <w:p w:rsidR="0FAFD9D7" w:rsidP="0FAFD9D7" w:rsidRDefault="0FAFD9D7" w14:paraId="790B8A6F" w14:textId="605BD430"/>
        </w:tc>
        <w:tc>
          <w:tcPr>
            <w:tcW w:w="1852" w:type="dxa"/>
          </w:tcPr>
          <w:p w:rsidR="3393DDD3" w:rsidP="0FAFD9D7" w:rsidRDefault="3393DDD3" w14:paraId="56668118" w14:textId="4EB49541">
            <w:r>
              <w:t>Subject areas</w:t>
            </w:r>
          </w:p>
        </w:tc>
        <w:tc>
          <w:tcPr>
            <w:tcW w:w="3030" w:type="dxa"/>
          </w:tcPr>
          <w:p w:rsidR="3393DDD3" w:rsidP="0FAFD9D7" w:rsidRDefault="3393DDD3" w14:paraId="54B42157" w14:textId="38B4B2A6">
            <w:r>
              <w:t>A range of speakers and visits</w:t>
            </w:r>
            <w:r w:rsidR="3D22B682">
              <w:t xml:space="preserve"> delivered</w:t>
            </w:r>
            <w:r>
              <w:t xml:space="preserve"> through specific subject areas</w:t>
            </w:r>
          </w:p>
        </w:tc>
        <w:tc>
          <w:tcPr>
            <w:tcW w:w="6448" w:type="dxa"/>
          </w:tcPr>
          <w:p w:rsidR="123AF356" w:rsidP="0FAFD9D7" w:rsidRDefault="123AF356" w14:paraId="060BEED1" w14:textId="5DC878F4">
            <w:r>
              <w:t>Students are taught about the career opportunities their subjects could lead to, and the transferable skills they are developing in each subject.  This learning is enhanced th</w:t>
            </w:r>
            <w:r w:rsidR="4F07295C">
              <w:t>rough a programme of visiting speakers and trips through engagement with both universities, employers and other organisations.</w:t>
            </w:r>
            <w:r w:rsidR="3B95F34C">
              <w:t xml:space="preserve">  Examples of activities from the previous year include:</w:t>
            </w:r>
          </w:p>
          <w:p w:rsidR="598764DD" w:rsidP="0FAFD9D7" w:rsidRDefault="598764DD" w14:paraId="1BEF7C76" w14:textId="40E66FD2">
            <w:pPr>
              <w:pStyle w:val="ListParagraph"/>
              <w:numPr>
                <w:ilvl w:val="0"/>
                <w:numId w:val="1"/>
              </w:numPr>
            </w:pPr>
            <w:r>
              <w:t>Drama &amp; Theatre Studies: workshops with Nonsuch Studios</w:t>
            </w:r>
            <w:r w:rsidR="001D349E">
              <w:t>, Roro and Derby Theatre</w:t>
            </w:r>
          </w:p>
          <w:p w:rsidR="178BD835" w:rsidP="0FAFD9D7" w:rsidRDefault="178BD835" w14:paraId="3D5B3A2A" w14:textId="64028160">
            <w:pPr>
              <w:pStyle w:val="ListParagraph"/>
              <w:numPr>
                <w:ilvl w:val="0"/>
                <w:numId w:val="1"/>
              </w:numPr>
            </w:pPr>
            <w:r>
              <w:t xml:space="preserve">Digital Music Production: workshops with </w:t>
            </w:r>
            <w:r w:rsidR="00D71BB1">
              <w:t>University of Derby</w:t>
            </w:r>
          </w:p>
          <w:p w:rsidR="178BD835" w:rsidP="0FAFD9D7" w:rsidRDefault="178BD835" w14:paraId="1566B355" w14:textId="699782E7">
            <w:pPr>
              <w:pStyle w:val="ListParagraph"/>
              <w:numPr>
                <w:ilvl w:val="0"/>
                <w:numId w:val="1"/>
              </w:numPr>
            </w:pPr>
            <w:r>
              <w:t>Criminology: taster day at Derby University</w:t>
            </w:r>
          </w:p>
          <w:p w:rsidR="178BD835" w:rsidP="0FAFD9D7" w:rsidRDefault="178BD835" w14:paraId="14C7B7BC" w14:textId="5F888692">
            <w:pPr>
              <w:pStyle w:val="ListParagraph"/>
              <w:numPr>
                <w:ilvl w:val="0"/>
                <w:numId w:val="1"/>
              </w:numPr>
            </w:pPr>
            <w:r>
              <w:t>Dance: workshop with FABRIC</w:t>
            </w:r>
          </w:p>
          <w:p w:rsidR="178BD835" w:rsidP="0FAFD9D7" w:rsidRDefault="178BD835" w14:paraId="1DB248F7" w14:textId="2141E107">
            <w:pPr>
              <w:pStyle w:val="ListParagraph"/>
              <w:numPr>
                <w:ilvl w:val="0"/>
                <w:numId w:val="1"/>
              </w:numPr>
            </w:pPr>
            <w:r>
              <w:t xml:space="preserve">Maths: </w:t>
            </w:r>
            <w:r w:rsidR="001D349E">
              <w:t xml:space="preserve">experience of a workplace </w:t>
            </w:r>
            <w:proofErr w:type="gramStart"/>
            <w:r>
              <w:t>visit</w:t>
            </w:r>
            <w:proofErr w:type="gramEnd"/>
            <w:r>
              <w:t xml:space="preserve"> to </w:t>
            </w:r>
            <w:r w:rsidR="001D349E">
              <w:t>Capital One</w:t>
            </w:r>
          </w:p>
          <w:p w:rsidR="0E475F43" w:rsidP="0FAFD9D7" w:rsidRDefault="0E475F43" w14:paraId="1039437E" w14:textId="6397985C">
            <w:pPr>
              <w:pStyle w:val="ListParagraph"/>
              <w:numPr>
                <w:ilvl w:val="0"/>
                <w:numId w:val="1"/>
              </w:numPr>
            </w:pPr>
            <w:r>
              <w:t>ESports: taster day at Confetti</w:t>
            </w:r>
          </w:p>
          <w:p w:rsidR="392CB809" w:rsidP="0FAFD9D7" w:rsidRDefault="392CB809" w14:paraId="19045C5A" w14:textId="7738D1BF">
            <w:pPr>
              <w:pStyle w:val="ListParagraph"/>
              <w:numPr>
                <w:ilvl w:val="0"/>
                <w:numId w:val="1"/>
              </w:numPr>
            </w:pPr>
            <w:r>
              <w:t>Creative Digital Media: pathways talk from Lincoln University</w:t>
            </w:r>
          </w:p>
          <w:p w:rsidR="392CB809" w:rsidP="0FAFD9D7" w:rsidRDefault="392CB809" w14:paraId="70F443C3" w14:textId="1F77210D">
            <w:pPr>
              <w:pStyle w:val="ListParagraph"/>
              <w:numPr>
                <w:ilvl w:val="0"/>
                <w:numId w:val="1"/>
              </w:numPr>
            </w:pPr>
            <w:r>
              <w:t>Physics: Physics &amp; Engineering taster day at University of Nottingham</w:t>
            </w:r>
          </w:p>
          <w:p w:rsidR="392CB809" w:rsidP="0FAFD9D7" w:rsidRDefault="392CB809" w14:paraId="46C9BCD0" w14:textId="41F98415">
            <w:pPr>
              <w:pStyle w:val="ListParagraph"/>
              <w:numPr>
                <w:ilvl w:val="0"/>
                <w:numId w:val="1"/>
              </w:numPr>
            </w:pPr>
            <w:r>
              <w:t xml:space="preserve">Business: </w:t>
            </w:r>
            <w:r w:rsidR="001D349E">
              <w:t xml:space="preserve">experience of a workplace </w:t>
            </w:r>
            <w:proofErr w:type="gramStart"/>
            <w:r w:rsidR="001D349E">
              <w:t>visit</w:t>
            </w:r>
            <w:proofErr w:type="gramEnd"/>
            <w:r w:rsidR="001D349E">
              <w:t xml:space="preserve"> to Capital One</w:t>
            </w:r>
          </w:p>
          <w:p w:rsidR="392CB809" w:rsidP="0FAFD9D7" w:rsidRDefault="392CB809" w14:paraId="0FE04EC1" w14:textId="4A4C5A3D">
            <w:pPr>
              <w:pStyle w:val="ListParagraph"/>
              <w:numPr>
                <w:ilvl w:val="0"/>
                <w:numId w:val="1"/>
              </w:numPr>
            </w:pPr>
            <w:r>
              <w:t>Film &amp; Media: trip to Warner Bros Studios</w:t>
            </w:r>
          </w:p>
          <w:p w:rsidR="392CB809" w:rsidP="0FAFD9D7" w:rsidRDefault="392CB809" w14:paraId="00F70C51" w14:textId="2DFC4990">
            <w:pPr>
              <w:pStyle w:val="ListParagraph"/>
              <w:numPr>
                <w:ilvl w:val="0"/>
                <w:numId w:val="1"/>
              </w:numPr>
            </w:pPr>
            <w:r>
              <w:t>Psychology: pathways event at Warwick university</w:t>
            </w:r>
          </w:p>
          <w:p w:rsidR="392CB809" w:rsidP="0FAFD9D7" w:rsidRDefault="392CB809" w14:paraId="0D567002" w14:textId="2408A5A2">
            <w:pPr>
              <w:pStyle w:val="ListParagraph"/>
              <w:numPr>
                <w:ilvl w:val="0"/>
                <w:numId w:val="1"/>
              </w:numPr>
            </w:pPr>
            <w:r>
              <w:t>Politics: visit to Houses of Parliament</w:t>
            </w:r>
          </w:p>
          <w:p w:rsidR="392CB809" w:rsidP="0FAFD9D7" w:rsidRDefault="392CB809" w14:paraId="44C8A007" w14:textId="1E147DC4">
            <w:pPr>
              <w:pStyle w:val="ListParagraph"/>
              <w:numPr>
                <w:ilvl w:val="0"/>
                <w:numId w:val="1"/>
              </w:numPr>
            </w:pPr>
            <w:r>
              <w:t xml:space="preserve">Electronics: </w:t>
            </w:r>
            <w:r w:rsidR="00D71BB1">
              <w:t>experience of a workplace visit to SMS Electronics</w:t>
            </w:r>
          </w:p>
          <w:p w:rsidR="392CB809" w:rsidP="0FAFD9D7" w:rsidRDefault="392CB809" w14:paraId="158954A2" w14:textId="53009FAF">
            <w:pPr>
              <w:pStyle w:val="ListParagraph"/>
              <w:numPr>
                <w:ilvl w:val="0"/>
                <w:numId w:val="1"/>
              </w:numPr>
            </w:pPr>
            <w:r>
              <w:t>Geography: taster day at Coventry University</w:t>
            </w:r>
          </w:p>
          <w:p w:rsidR="392CB809" w:rsidP="0FAFD9D7" w:rsidRDefault="392CB809" w14:paraId="585AF0C9" w14:textId="0A0AF18E">
            <w:pPr>
              <w:pStyle w:val="ListParagraph"/>
              <w:numPr>
                <w:ilvl w:val="0"/>
                <w:numId w:val="1"/>
              </w:numPr>
            </w:pPr>
            <w:r>
              <w:t>Law: visit to Nottingham Crown Court</w:t>
            </w:r>
          </w:p>
          <w:p w:rsidR="00D71BB1" w:rsidP="0FAFD9D7" w:rsidRDefault="00D71BB1" w14:paraId="4B3F4ED6" w14:textId="7156610A">
            <w:pPr>
              <w:pStyle w:val="ListParagraph"/>
              <w:numPr>
                <w:ilvl w:val="0"/>
                <w:numId w:val="1"/>
              </w:numPr>
            </w:pPr>
            <w:r>
              <w:t>Chemistry: lab experience at Nottingham Trent University</w:t>
            </w:r>
          </w:p>
          <w:p w:rsidR="0FAFD9D7" w:rsidP="0FAFD9D7" w:rsidRDefault="0FAFD9D7" w14:paraId="3CA80218" w14:textId="21F2564F"/>
        </w:tc>
        <w:tc>
          <w:tcPr>
            <w:tcW w:w="1591" w:type="dxa"/>
          </w:tcPr>
          <w:p w:rsidR="123AF356" w:rsidRDefault="123AF356" w14:paraId="23FAC623" w14:textId="21BAADB5">
            <w:r>
              <w:t>1, 2, 4, 5, 7</w:t>
            </w:r>
          </w:p>
          <w:p w:rsidR="0FAFD9D7" w:rsidP="0FAFD9D7" w:rsidRDefault="0FAFD9D7" w14:paraId="301EBBE3" w14:textId="429D20EA"/>
        </w:tc>
      </w:tr>
    </w:tbl>
    <w:p w:rsidR="6E7E4CE9" w:rsidP="6E7E4CE9" w:rsidRDefault="6E7E4CE9" w14:paraId="6125CD86" w14:textId="22F4B14F">
      <w:pPr>
        <w:rPr>
          <w:rStyle w:val="BookTitle"/>
        </w:rPr>
      </w:pPr>
    </w:p>
    <w:p w:rsidR="007F7EC9" w:rsidP="00160372" w:rsidRDefault="007F7EC9" w14:paraId="58D7CCDA" w14:textId="6F2248D7">
      <w:r w:rsidRPr="007F7EC9">
        <w:rPr>
          <w:rStyle w:val="BookTitle"/>
        </w:rPr>
        <w:t>Year</w:t>
      </w:r>
      <w:r>
        <w:t xml:space="preserve"> </w:t>
      </w:r>
      <w:r w:rsidRPr="007F7EC9">
        <w:rPr>
          <w:rStyle w:val="BookTitle"/>
        </w:rPr>
        <w:t>12</w:t>
      </w:r>
    </w:p>
    <w:tbl>
      <w:tblPr>
        <w:tblStyle w:val="TableGrid"/>
        <w:tblW w:w="14085" w:type="dxa"/>
        <w:tblLook w:val="04A0" w:firstRow="1" w:lastRow="0" w:firstColumn="1" w:lastColumn="0" w:noHBand="0" w:noVBand="1"/>
      </w:tblPr>
      <w:tblGrid>
        <w:gridCol w:w="1035"/>
        <w:gridCol w:w="1856"/>
        <w:gridCol w:w="3058"/>
        <w:gridCol w:w="6570"/>
        <w:gridCol w:w="1566"/>
      </w:tblGrid>
      <w:tr w:rsidR="00D376C8" w:rsidTr="1A6266F8" w14:paraId="21AD2129" w14:textId="77777777">
        <w:trPr>
          <w:trHeight w:val="300"/>
        </w:trPr>
        <w:tc>
          <w:tcPr>
            <w:tcW w:w="1035" w:type="dxa"/>
          </w:tcPr>
          <w:p w:rsidR="00D376C8" w:rsidP="00160372" w:rsidRDefault="00D376C8" w14:paraId="1157939F" w14:textId="1AB1C8B2">
            <w:r>
              <w:t>Term</w:t>
            </w:r>
          </w:p>
        </w:tc>
        <w:tc>
          <w:tcPr>
            <w:tcW w:w="1856" w:type="dxa"/>
          </w:tcPr>
          <w:p w:rsidR="00D376C8" w:rsidP="00160372" w:rsidRDefault="00D376C8" w14:paraId="1A323BA2" w14:textId="4AAA3BE6">
            <w:r>
              <w:t>Delivery type</w:t>
            </w:r>
          </w:p>
        </w:tc>
        <w:tc>
          <w:tcPr>
            <w:tcW w:w="3058" w:type="dxa"/>
          </w:tcPr>
          <w:p w:rsidR="00D376C8" w:rsidP="00160372" w:rsidRDefault="007F7EC9" w14:paraId="67C6F8BA" w14:textId="1A6EE676">
            <w:r>
              <w:t>Activity</w:t>
            </w:r>
          </w:p>
        </w:tc>
        <w:tc>
          <w:tcPr>
            <w:tcW w:w="6570" w:type="dxa"/>
          </w:tcPr>
          <w:p w:rsidR="00D376C8" w:rsidP="00160372" w:rsidRDefault="00D376C8" w14:paraId="5740D9BA" w14:textId="7AF56C52">
            <w:r>
              <w:t>Intended Learning Outcomes</w:t>
            </w:r>
          </w:p>
        </w:tc>
        <w:tc>
          <w:tcPr>
            <w:tcW w:w="1566" w:type="dxa"/>
          </w:tcPr>
          <w:p w:rsidR="00D376C8" w:rsidP="00160372" w:rsidRDefault="00D376C8" w14:paraId="6DED8C75" w14:textId="5CD9424B">
            <w:r>
              <w:t>Gatsby Benchmarks</w:t>
            </w:r>
          </w:p>
        </w:tc>
      </w:tr>
      <w:tr w:rsidR="00696C6E" w:rsidTr="1A6266F8" w14:paraId="40AB95B7" w14:textId="77777777">
        <w:trPr>
          <w:trHeight w:val="300"/>
        </w:trPr>
        <w:tc>
          <w:tcPr>
            <w:tcW w:w="1035" w:type="dxa"/>
            <w:vMerge w:val="restart"/>
          </w:tcPr>
          <w:p w:rsidR="00696C6E" w:rsidP="00160372" w:rsidRDefault="00696C6E" w14:paraId="09DDE662" w14:textId="6C0F39F7">
            <w:r>
              <w:t>Autumn</w:t>
            </w:r>
          </w:p>
        </w:tc>
        <w:tc>
          <w:tcPr>
            <w:tcW w:w="1856" w:type="dxa"/>
          </w:tcPr>
          <w:p w:rsidR="00696C6E" w:rsidP="00160372" w:rsidRDefault="00696C6E" w14:paraId="06E1CE09" w14:textId="74E3A334">
            <w:r>
              <w:t>Skills &amp; Progression lesson</w:t>
            </w:r>
          </w:p>
        </w:tc>
        <w:tc>
          <w:tcPr>
            <w:tcW w:w="3058" w:type="dxa"/>
          </w:tcPr>
          <w:p w:rsidR="00696C6E" w:rsidP="00160372" w:rsidRDefault="00696C6E" w14:paraId="20DBF1D4" w14:textId="2B0C0328">
            <w:r>
              <w:t>Introduction to the Careers Team and overview of our Careers Programme</w:t>
            </w:r>
          </w:p>
        </w:tc>
        <w:tc>
          <w:tcPr>
            <w:tcW w:w="6570" w:type="dxa"/>
          </w:tcPr>
          <w:p w:rsidR="00696C6E" w:rsidP="00160372" w:rsidRDefault="00696C6E" w14:paraId="30D91CA5" w14:textId="4DD5D548">
            <w:r>
              <w:t>Students understand how to make a guidance appointment, and the support available</w:t>
            </w:r>
          </w:p>
        </w:tc>
        <w:tc>
          <w:tcPr>
            <w:tcW w:w="1566" w:type="dxa"/>
          </w:tcPr>
          <w:p w:rsidR="00696C6E" w:rsidP="00160372" w:rsidRDefault="76336454" w14:paraId="142CBC7D" w14:textId="0824D457">
            <w:r>
              <w:t>1, 8</w:t>
            </w:r>
          </w:p>
        </w:tc>
      </w:tr>
      <w:tr w:rsidR="00696C6E" w:rsidTr="1A6266F8" w14:paraId="1490A21B" w14:textId="77777777">
        <w:trPr>
          <w:trHeight w:val="300"/>
        </w:trPr>
        <w:tc>
          <w:tcPr>
            <w:tcW w:w="1035" w:type="dxa"/>
            <w:vMerge/>
          </w:tcPr>
          <w:p w:rsidR="00696C6E" w:rsidP="00644562" w:rsidRDefault="00696C6E" w14:paraId="119B7196" w14:textId="77777777"/>
        </w:tc>
        <w:tc>
          <w:tcPr>
            <w:tcW w:w="1856" w:type="dxa"/>
          </w:tcPr>
          <w:p w:rsidR="00696C6E" w:rsidP="00644562" w:rsidRDefault="00696C6E" w14:paraId="1865C34E" w14:textId="638B6DF9">
            <w:r>
              <w:t>Skills &amp; Progression lesson</w:t>
            </w:r>
          </w:p>
        </w:tc>
        <w:tc>
          <w:tcPr>
            <w:tcW w:w="3058" w:type="dxa"/>
          </w:tcPr>
          <w:p w:rsidR="00696C6E" w:rsidP="00644562" w:rsidRDefault="00696C6E" w14:paraId="136154BF" w14:textId="3DAFB2A9">
            <w:r>
              <w:t xml:space="preserve">Introduction to </w:t>
            </w:r>
            <w:proofErr w:type="spellStart"/>
            <w:r>
              <w:t>Unifrog</w:t>
            </w:r>
            <w:proofErr w:type="spellEnd"/>
            <w:r>
              <w:t xml:space="preserve">: overview of the platform, all </w:t>
            </w:r>
            <w:proofErr w:type="gramStart"/>
            <w:r>
              <w:t>students</w:t>
            </w:r>
            <w:proofErr w:type="gramEnd"/>
            <w:r>
              <w:t xml:space="preserve"> login, time to explore</w:t>
            </w:r>
          </w:p>
        </w:tc>
        <w:tc>
          <w:tcPr>
            <w:tcW w:w="6570" w:type="dxa"/>
          </w:tcPr>
          <w:p w:rsidR="00696C6E" w:rsidP="00644562" w:rsidRDefault="00696C6E" w14:paraId="17FCE148" w14:textId="74CCA922">
            <w:r>
              <w:t xml:space="preserve">Students </w:t>
            </w:r>
            <w:proofErr w:type="gramStart"/>
            <w:r>
              <w:t>are able to</w:t>
            </w:r>
            <w:proofErr w:type="gramEnd"/>
            <w:r>
              <w:t xml:space="preserve"> access LMI and resources to help consider their next steps</w:t>
            </w:r>
          </w:p>
        </w:tc>
        <w:tc>
          <w:tcPr>
            <w:tcW w:w="1566" w:type="dxa"/>
          </w:tcPr>
          <w:p w:rsidR="00696C6E" w:rsidP="00644562" w:rsidRDefault="72614664" w14:paraId="5B5B3BFB" w14:textId="74200816">
            <w:r>
              <w:t>1, 2</w:t>
            </w:r>
          </w:p>
        </w:tc>
      </w:tr>
      <w:tr w:rsidR="00696C6E" w:rsidTr="1A6266F8" w14:paraId="12BD93C0" w14:textId="77777777">
        <w:trPr>
          <w:trHeight w:val="1185"/>
        </w:trPr>
        <w:tc>
          <w:tcPr>
            <w:tcW w:w="1035" w:type="dxa"/>
            <w:vMerge/>
          </w:tcPr>
          <w:p w:rsidR="00696C6E" w:rsidP="00644562" w:rsidRDefault="00696C6E" w14:paraId="0BA7946B" w14:textId="77777777"/>
        </w:tc>
        <w:tc>
          <w:tcPr>
            <w:tcW w:w="1856" w:type="dxa"/>
          </w:tcPr>
          <w:p w:rsidR="00696C6E" w:rsidP="00644562" w:rsidRDefault="00696C6E" w14:paraId="47726287" w14:textId="714131DC">
            <w:r>
              <w:t>Skills &amp; Progression lesson</w:t>
            </w:r>
          </w:p>
        </w:tc>
        <w:tc>
          <w:tcPr>
            <w:tcW w:w="3058" w:type="dxa"/>
          </w:tcPr>
          <w:p w:rsidR="00696C6E" w:rsidP="00644562" w:rsidRDefault="00696C6E" w14:paraId="36F57F99" w14:textId="2979F9D6">
            <w:r>
              <w:t>Introduction to Widening Participation programmes</w:t>
            </w:r>
          </w:p>
        </w:tc>
        <w:tc>
          <w:tcPr>
            <w:tcW w:w="6570" w:type="dxa"/>
          </w:tcPr>
          <w:p w:rsidR="00696C6E" w:rsidP="00644562" w:rsidRDefault="00696C6E" w14:paraId="032CE94D" w14:textId="6B2DC91C">
            <w:r>
              <w:t>All students learn about the range of programmes offered by universities to remove barriers to HE, and are encouraged and supported to apply if eligible</w:t>
            </w:r>
          </w:p>
        </w:tc>
        <w:tc>
          <w:tcPr>
            <w:tcW w:w="1566" w:type="dxa"/>
          </w:tcPr>
          <w:p w:rsidR="00696C6E" w:rsidP="00644562" w:rsidRDefault="6E29E1B4" w14:paraId="6CFEE4D8" w14:textId="45D44F61">
            <w:r>
              <w:t>1, 3</w:t>
            </w:r>
          </w:p>
        </w:tc>
      </w:tr>
      <w:tr w:rsidR="00696C6E" w:rsidTr="1A6266F8" w14:paraId="2D83F3A2" w14:textId="77777777">
        <w:trPr>
          <w:trHeight w:val="300"/>
        </w:trPr>
        <w:tc>
          <w:tcPr>
            <w:tcW w:w="1035" w:type="dxa"/>
            <w:vMerge/>
          </w:tcPr>
          <w:p w:rsidR="00696C6E" w:rsidP="00644562" w:rsidRDefault="00696C6E" w14:paraId="0DD9DE81" w14:textId="77777777"/>
        </w:tc>
        <w:tc>
          <w:tcPr>
            <w:tcW w:w="1856" w:type="dxa"/>
          </w:tcPr>
          <w:p w:rsidR="00696C6E" w:rsidP="00644562" w:rsidRDefault="00696C6E" w14:paraId="7B06FAEF" w14:textId="7C1F31B1">
            <w:r>
              <w:t>Speaker</w:t>
            </w:r>
          </w:p>
        </w:tc>
        <w:tc>
          <w:tcPr>
            <w:tcW w:w="3058" w:type="dxa"/>
          </w:tcPr>
          <w:p w:rsidR="00696C6E" w:rsidP="00644562" w:rsidRDefault="00696C6E" w14:paraId="7A39C5B7" w14:textId="40E8D56D">
            <w:r>
              <w:t>Realising Opportunities lunchtime talk</w:t>
            </w:r>
          </w:p>
        </w:tc>
        <w:tc>
          <w:tcPr>
            <w:tcW w:w="6570" w:type="dxa"/>
          </w:tcPr>
          <w:p w:rsidR="00696C6E" w:rsidP="00644562" w:rsidRDefault="00696C6E" w14:paraId="1562E8EE" w14:textId="3F87DF6D">
            <w:r>
              <w:t>Our link university is Loughborough, and eligible students are informed and inspired to engage with this opportunity to access leading universities</w:t>
            </w:r>
          </w:p>
        </w:tc>
        <w:tc>
          <w:tcPr>
            <w:tcW w:w="1566" w:type="dxa"/>
          </w:tcPr>
          <w:p w:rsidR="00696C6E" w:rsidP="00644562" w:rsidRDefault="5EF12ECE" w14:paraId="0E8EB839" w14:textId="1B09B988">
            <w:r>
              <w:t>1, 3</w:t>
            </w:r>
          </w:p>
        </w:tc>
      </w:tr>
      <w:tr w:rsidR="00696C6E" w:rsidTr="1A6266F8" w14:paraId="474B7AD0" w14:textId="77777777">
        <w:trPr>
          <w:trHeight w:val="300"/>
        </w:trPr>
        <w:tc>
          <w:tcPr>
            <w:tcW w:w="1035" w:type="dxa"/>
            <w:vMerge/>
          </w:tcPr>
          <w:p w:rsidR="00696C6E" w:rsidP="000E6510" w:rsidRDefault="00696C6E" w14:paraId="3A266AC3" w14:textId="77777777"/>
        </w:tc>
        <w:tc>
          <w:tcPr>
            <w:tcW w:w="1856" w:type="dxa"/>
          </w:tcPr>
          <w:p w:rsidR="00696C6E" w:rsidP="000E6510" w:rsidRDefault="00696C6E" w14:paraId="76B39106" w14:textId="5E64F4AB">
            <w:r>
              <w:t>Skills &amp; Progression lesson</w:t>
            </w:r>
          </w:p>
        </w:tc>
        <w:tc>
          <w:tcPr>
            <w:tcW w:w="3058" w:type="dxa"/>
          </w:tcPr>
          <w:p w:rsidR="00696C6E" w:rsidP="000E6510" w:rsidRDefault="00696C6E" w14:paraId="4A372795" w14:textId="77777777">
            <w:r>
              <w:t>Introduction to Work Experience, and the college’s process and support. Includes voluntary and part-time work.</w:t>
            </w:r>
          </w:p>
          <w:p w:rsidR="00696C6E" w:rsidP="000E6510" w:rsidRDefault="00696C6E" w14:paraId="6EDA9DAB" w14:textId="5E8DDA3B"/>
        </w:tc>
        <w:tc>
          <w:tcPr>
            <w:tcW w:w="6570" w:type="dxa"/>
          </w:tcPr>
          <w:p w:rsidR="00696C6E" w:rsidP="000E6510" w:rsidRDefault="00696C6E" w14:paraId="53DF995D" w14:textId="0F8CD6A7">
            <w:r>
              <w:t>Students understand our expectations around finding work experience, and the process that must be followed to ensure it is meaningful and safe</w:t>
            </w:r>
          </w:p>
        </w:tc>
        <w:tc>
          <w:tcPr>
            <w:tcW w:w="1566" w:type="dxa"/>
          </w:tcPr>
          <w:p w:rsidR="00696C6E" w:rsidP="000E6510" w:rsidRDefault="5822E3C9" w14:paraId="440B6285" w14:textId="0D8B9A25">
            <w:r>
              <w:t>1</w:t>
            </w:r>
          </w:p>
        </w:tc>
      </w:tr>
      <w:tr w:rsidR="00696C6E" w:rsidTr="1A6266F8" w14:paraId="0986F48A" w14:textId="77777777">
        <w:trPr>
          <w:trHeight w:val="300"/>
        </w:trPr>
        <w:tc>
          <w:tcPr>
            <w:tcW w:w="1035" w:type="dxa"/>
            <w:vMerge/>
          </w:tcPr>
          <w:p w:rsidR="00696C6E" w:rsidP="00434451" w:rsidRDefault="00696C6E" w14:paraId="35B35F45" w14:textId="77777777"/>
        </w:tc>
        <w:tc>
          <w:tcPr>
            <w:tcW w:w="1856" w:type="dxa"/>
          </w:tcPr>
          <w:p w:rsidR="00696C6E" w:rsidP="00434451" w:rsidRDefault="00696C6E" w14:paraId="66DA6A7D" w14:textId="1FFFF2D0">
            <w:r>
              <w:t>Skills &amp; Progression lesson</w:t>
            </w:r>
          </w:p>
        </w:tc>
        <w:tc>
          <w:tcPr>
            <w:tcW w:w="3058" w:type="dxa"/>
          </w:tcPr>
          <w:p w:rsidR="00696C6E" w:rsidP="00434451" w:rsidRDefault="00696C6E" w14:paraId="3D5AAE83" w14:textId="791B031E">
            <w:r>
              <w:t>Introduction to the Enrichment Programme</w:t>
            </w:r>
          </w:p>
        </w:tc>
        <w:tc>
          <w:tcPr>
            <w:tcW w:w="6570" w:type="dxa"/>
          </w:tcPr>
          <w:p w:rsidR="00696C6E" w:rsidP="00434451" w:rsidRDefault="00696C6E" w14:paraId="5AE5A643" w14:textId="4F98AE2C">
            <w:r>
              <w:t>Students understand the benefits of engaging with a wide range of extra-curricular activities, and the skills they could develop to help in life and career</w:t>
            </w:r>
          </w:p>
        </w:tc>
        <w:tc>
          <w:tcPr>
            <w:tcW w:w="1566" w:type="dxa"/>
          </w:tcPr>
          <w:p w:rsidR="00696C6E" w:rsidP="00434451" w:rsidRDefault="77C3AE2A" w14:paraId="37284DE7" w14:textId="4F87DEAE">
            <w:r>
              <w:t>1</w:t>
            </w:r>
          </w:p>
        </w:tc>
      </w:tr>
      <w:tr w:rsidR="00696C6E" w:rsidTr="1A6266F8" w14:paraId="42EB448D" w14:textId="77777777">
        <w:trPr>
          <w:trHeight w:val="300"/>
        </w:trPr>
        <w:tc>
          <w:tcPr>
            <w:tcW w:w="1035" w:type="dxa"/>
            <w:vMerge/>
          </w:tcPr>
          <w:p w:rsidR="00696C6E" w:rsidP="00110B2C" w:rsidRDefault="00696C6E" w14:paraId="19601186" w14:textId="77777777"/>
        </w:tc>
        <w:tc>
          <w:tcPr>
            <w:tcW w:w="1856" w:type="dxa"/>
          </w:tcPr>
          <w:p w:rsidR="00696C6E" w:rsidP="00110B2C" w:rsidRDefault="00696C6E" w14:paraId="2CBDA706" w14:textId="7A260085">
            <w:r>
              <w:t>Skills &amp; Progression lesson</w:t>
            </w:r>
          </w:p>
        </w:tc>
        <w:tc>
          <w:tcPr>
            <w:tcW w:w="3058" w:type="dxa"/>
          </w:tcPr>
          <w:p w:rsidR="00696C6E" w:rsidP="00110B2C" w:rsidRDefault="00696C6E" w14:paraId="158D0EC9" w14:textId="1934BA80">
            <w:r>
              <w:t>Introduction to college’s support programmes for Oxbridge and MDV (Medicine, Dentistry &amp; Veterinary) applicants</w:t>
            </w:r>
          </w:p>
        </w:tc>
        <w:tc>
          <w:tcPr>
            <w:tcW w:w="6570" w:type="dxa"/>
          </w:tcPr>
          <w:p w:rsidR="00696C6E" w:rsidP="00110B2C" w:rsidRDefault="00696C6E" w14:paraId="5F7CE4F9" w14:textId="612B153E">
            <w:r>
              <w:t>Students interested in these pathways receive early and ongoing support to optimise the success of their applications.</w:t>
            </w:r>
          </w:p>
        </w:tc>
        <w:tc>
          <w:tcPr>
            <w:tcW w:w="1566" w:type="dxa"/>
          </w:tcPr>
          <w:p w:rsidR="00696C6E" w:rsidP="00110B2C" w:rsidRDefault="1F562BC1" w14:paraId="556907E3" w14:textId="5D7483A9">
            <w:r>
              <w:t>1, 3</w:t>
            </w:r>
          </w:p>
        </w:tc>
      </w:tr>
      <w:tr w:rsidR="00696C6E" w:rsidTr="1A6266F8" w14:paraId="12DC8CF2" w14:textId="77777777">
        <w:trPr>
          <w:trHeight w:val="300"/>
        </w:trPr>
        <w:tc>
          <w:tcPr>
            <w:tcW w:w="1035" w:type="dxa"/>
            <w:vMerge/>
          </w:tcPr>
          <w:p w:rsidR="00696C6E" w:rsidP="00110B2C" w:rsidRDefault="00696C6E" w14:paraId="2EA30E3E" w14:textId="77777777"/>
        </w:tc>
        <w:tc>
          <w:tcPr>
            <w:tcW w:w="1856" w:type="dxa"/>
          </w:tcPr>
          <w:p w:rsidR="00696C6E" w:rsidP="00110B2C" w:rsidRDefault="00696C6E" w14:paraId="40662010" w14:textId="39695032">
            <w:r>
              <w:t>Event</w:t>
            </w:r>
          </w:p>
        </w:tc>
        <w:tc>
          <w:tcPr>
            <w:tcW w:w="3058" w:type="dxa"/>
          </w:tcPr>
          <w:p w:rsidR="00696C6E" w:rsidP="00110B2C" w:rsidRDefault="00696C6E" w14:paraId="28E8E0DA" w14:textId="3AA1265A">
            <w:r>
              <w:t>Apprenticeship Evening</w:t>
            </w:r>
          </w:p>
        </w:tc>
        <w:tc>
          <w:tcPr>
            <w:tcW w:w="6570" w:type="dxa"/>
          </w:tcPr>
          <w:p w:rsidR="00696C6E" w:rsidP="00110B2C" w:rsidRDefault="00696C6E" w14:paraId="0906D946" w14:textId="168373C0">
            <w:r>
              <w:t xml:space="preserve">Students and parents learn about modern </w:t>
            </w:r>
            <w:proofErr w:type="gramStart"/>
            <w:r>
              <w:t>apprenticeships, and</w:t>
            </w:r>
            <w:proofErr w:type="gramEnd"/>
            <w:r>
              <w:t xml:space="preserve"> hear from a range of employers offering apprenticeship programmes.  Students are inspired and informed by engaging with employers and current apprentices.</w:t>
            </w:r>
          </w:p>
        </w:tc>
        <w:tc>
          <w:tcPr>
            <w:tcW w:w="1566" w:type="dxa"/>
          </w:tcPr>
          <w:p w:rsidR="00696C6E" w:rsidP="00110B2C" w:rsidRDefault="0649B78A" w14:paraId="66CA103E" w14:textId="6D8D8CDE">
            <w:r>
              <w:t>1, 2, 3, 5, 7</w:t>
            </w:r>
          </w:p>
        </w:tc>
      </w:tr>
      <w:tr w:rsidR="002E077A" w:rsidTr="1A6266F8" w14:paraId="6D6A7A3B" w14:textId="77777777">
        <w:trPr>
          <w:trHeight w:val="300"/>
        </w:trPr>
        <w:tc>
          <w:tcPr>
            <w:tcW w:w="1035" w:type="dxa"/>
            <w:vMerge w:val="restart"/>
          </w:tcPr>
          <w:p w:rsidR="002E077A" w:rsidP="002E077A" w:rsidRDefault="002E077A" w14:paraId="198BE3FF" w14:textId="06A2872F">
            <w:r>
              <w:t>Spring</w:t>
            </w:r>
          </w:p>
        </w:tc>
        <w:tc>
          <w:tcPr>
            <w:tcW w:w="1856" w:type="dxa"/>
          </w:tcPr>
          <w:p w:rsidR="002E077A" w:rsidP="002E077A" w:rsidRDefault="002E077A" w14:paraId="26B66336" w14:textId="09711629">
            <w:r>
              <w:t>Skills &amp; Progression lesson</w:t>
            </w:r>
          </w:p>
        </w:tc>
        <w:tc>
          <w:tcPr>
            <w:tcW w:w="3058" w:type="dxa"/>
          </w:tcPr>
          <w:p w:rsidR="002E077A" w:rsidP="002E077A" w:rsidRDefault="007C71B8" w14:paraId="3E08E396" w14:textId="25C08599">
            <w:r>
              <w:t>Academic progression</w:t>
            </w:r>
          </w:p>
        </w:tc>
        <w:tc>
          <w:tcPr>
            <w:tcW w:w="6570" w:type="dxa"/>
          </w:tcPr>
          <w:p w:rsidR="002E077A" w:rsidP="002E077A" w:rsidRDefault="007C71B8" w14:paraId="760FCA94" w14:textId="0D98083C">
            <w:r>
              <w:t xml:space="preserve">Students learn about </w:t>
            </w:r>
            <w:r w:rsidR="00B1207B">
              <w:t>higher education (including level 4 and above</w:t>
            </w:r>
            <w:r w:rsidR="004115F5">
              <w:t>, and foundation years),</w:t>
            </w:r>
            <w:r w:rsidR="00B05EA1">
              <w:t xml:space="preserve"> and </w:t>
            </w:r>
            <w:r w:rsidR="00497DDA">
              <w:t>are inspired and informed about this pathway</w:t>
            </w:r>
          </w:p>
        </w:tc>
        <w:tc>
          <w:tcPr>
            <w:tcW w:w="1566" w:type="dxa"/>
          </w:tcPr>
          <w:p w:rsidR="002E077A" w:rsidP="002E077A" w:rsidRDefault="5533AB46" w14:paraId="56DB8ED8" w14:textId="7DB48714">
            <w:r>
              <w:t>1</w:t>
            </w:r>
            <w:r w:rsidR="33EA7E03">
              <w:t>, 2</w:t>
            </w:r>
          </w:p>
        </w:tc>
      </w:tr>
      <w:tr w:rsidR="00497DDA" w:rsidTr="1A6266F8" w14:paraId="217E3DBF" w14:textId="77777777">
        <w:trPr>
          <w:trHeight w:val="300"/>
        </w:trPr>
        <w:tc>
          <w:tcPr>
            <w:tcW w:w="1035" w:type="dxa"/>
            <w:vMerge/>
          </w:tcPr>
          <w:p w:rsidR="00497DDA" w:rsidP="00497DDA" w:rsidRDefault="00497DDA" w14:paraId="4E8DB1FA" w14:textId="77777777"/>
        </w:tc>
        <w:tc>
          <w:tcPr>
            <w:tcW w:w="1856" w:type="dxa"/>
          </w:tcPr>
          <w:p w:rsidR="00497DDA" w:rsidP="00497DDA" w:rsidRDefault="00497DDA" w14:paraId="2CF19D70" w14:textId="764EA56D">
            <w:r>
              <w:t>Skills &amp; Progression lesson</w:t>
            </w:r>
          </w:p>
        </w:tc>
        <w:tc>
          <w:tcPr>
            <w:tcW w:w="3058" w:type="dxa"/>
          </w:tcPr>
          <w:p w:rsidR="00497DDA" w:rsidP="00497DDA" w:rsidRDefault="00482C8D" w14:paraId="4C318E74" w14:textId="3596ACB5">
            <w:r>
              <w:t>Funding for higher education</w:t>
            </w:r>
          </w:p>
        </w:tc>
        <w:tc>
          <w:tcPr>
            <w:tcW w:w="6570" w:type="dxa"/>
          </w:tcPr>
          <w:p w:rsidR="00497DDA" w:rsidP="00497DDA" w:rsidRDefault="00482C8D" w14:paraId="2432DDE5" w14:textId="16726677">
            <w:r>
              <w:t>Students learn about Student Finance</w:t>
            </w:r>
            <w:r w:rsidR="00ED7225">
              <w:t>, scholarships, bursaries, NHS LSF, DSA, and understand</w:t>
            </w:r>
            <w:r w:rsidR="007C62B5">
              <w:t xml:space="preserve"> how this can be an important factor when making decisions around HE.</w:t>
            </w:r>
          </w:p>
        </w:tc>
        <w:tc>
          <w:tcPr>
            <w:tcW w:w="1566" w:type="dxa"/>
          </w:tcPr>
          <w:p w:rsidR="00497DDA" w:rsidP="00497DDA" w:rsidRDefault="08A2C49E" w14:paraId="4E77674B" w14:textId="1E839DEC">
            <w:r>
              <w:t>1, 3</w:t>
            </w:r>
          </w:p>
        </w:tc>
      </w:tr>
      <w:tr w:rsidR="002457D7" w:rsidTr="1A6266F8" w14:paraId="7585F51F" w14:textId="77777777">
        <w:trPr>
          <w:trHeight w:val="300"/>
        </w:trPr>
        <w:tc>
          <w:tcPr>
            <w:tcW w:w="1035" w:type="dxa"/>
            <w:vMerge/>
          </w:tcPr>
          <w:p w:rsidR="002457D7" w:rsidP="002457D7" w:rsidRDefault="002457D7" w14:paraId="3F7A3A68" w14:textId="77777777"/>
        </w:tc>
        <w:tc>
          <w:tcPr>
            <w:tcW w:w="1856" w:type="dxa"/>
          </w:tcPr>
          <w:p w:rsidR="002457D7" w:rsidP="002457D7" w:rsidRDefault="002457D7" w14:paraId="4F1F721C" w14:textId="1D3A8ECA">
            <w:r>
              <w:t>Skills &amp; Progression lesson</w:t>
            </w:r>
          </w:p>
        </w:tc>
        <w:tc>
          <w:tcPr>
            <w:tcW w:w="3058" w:type="dxa"/>
          </w:tcPr>
          <w:p w:rsidR="002457D7" w:rsidP="002457D7" w:rsidRDefault="002457D7" w14:paraId="04697D35" w14:textId="45A46720">
            <w:r>
              <w:t>Personal finances</w:t>
            </w:r>
          </w:p>
        </w:tc>
        <w:tc>
          <w:tcPr>
            <w:tcW w:w="6570" w:type="dxa"/>
          </w:tcPr>
          <w:p w:rsidR="002457D7" w:rsidP="002457D7" w:rsidRDefault="002457D7" w14:paraId="5DF51658" w14:textId="5B1040B4">
            <w:r>
              <w:t>Students learn about managing their money, bank accounts, understanding pay slips, budgeting, credit and debt, saving.</w:t>
            </w:r>
          </w:p>
        </w:tc>
        <w:tc>
          <w:tcPr>
            <w:tcW w:w="1566" w:type="dxa"/>
          </w:tcPr>
          <w:p w:rsidR="002457D7" w:rsidP="002457D7" w:rsidRDefault="002457D7" w14:paraId="1E6721BC" w14:textId="5FFFDA71">
            <w:r>
              <w:t>1, 3</w:t>
            </w:r>
          </w:p>
        </w:tc>
      </w:tr>
      <w:tr w:rsidR="002457D7" w:rsidTr="1A6266F8" w14:paraId="12F88355" w14:textId="77777777">
        <w:trPr>
          <w:trHeight w:val="300"/>
        </w:trPr>
        <w:tc>
          <w:tcPr>
            <w:tcW w:w="1035" w:type="dxa"/>
            <w:vMerge/>
          </w:tcPr>
          <w:p w:rsidR="002457D7" w:rsidP="002457D7" w:rsidRDefault="002457D7" w14:paraId="0F9B6D95" w14:textId="77777777"/>
        </w:tc>
        <w:tc>
          <w:tcPr>
            <w:tcW w:w="1856" w:type="dxa"/>
          </w:tcPr>
          <w:p w:rsidR="002457D7" w:rsidP="002457D7" w:rsidRDefault="002457D7" w14:paraId="58C7A6F9" w14:textId="6A667027">
            <w:r>
              <w:t>Skills &amp; Progression lesson</w:t>
            </w:r>
          </w:p>
        </w:tc>
        <w:tc>
          <w:tcPr>
            <w:tcW w:w="3058" w:type="dxa"/>
          </w:tcPr>
          <w:p w:rsidR="002457D7" w:rsidP="002457D7" w:rsidRDefault="002457D7" w14:paraId="7E5D80FC" w14:textId="24347669">
            <w:r>
              <w:t>Apprenticeships</w:t>
            </w:r>
          </w:p>
        </w:tc>
        <w:tc>
          <w:tcPr>
            <w:tcW w:w="6570" w:type="dxa"/>
          </w:tcPr>
          <w:p w:rsidR="002457D7" w:rsidP="002457D7" w:rsidRDefault="002457D7" w14:paraId="642A3E47" w14:textId="2C143011">
            <w:r>
              <w:t xml:space="preserve">Students understand what modern apprenticeships are, the different levels, areas where available, how to research and locate vacancies, when to look and apply.  Students are inspired to consider this </w:t>
            </w:r>
            <w:proofErr w:type="gramStart"/>
            <w:r>
              <w:t>pathway, and</w:t>
            </w:r>
            <w:proofErr w:type="gramEnd"/>
            <w:r>
              <w:t xml:space="preserve"> prepared for National Apprenticeship Week.</w:t>
            </w:r>
          </w:p>
        </w:tc>
        <w:tc>
          <w:tcPr>
            <w:tcW w:w="1566" w:type="dxa"/>
          </w:tcPr>
          <w:p w:rsidR="002457D7" w:rsidP="002457D7" w:rsidRDefault="002457D7" w14:paraId="43A41803" w14:textId="0EA85713">
            <w:r>
              <w:t>1, 2</w:t>
            </w:r>
          </w:p>
        </w:tc>
      </w:tr>
      <w:tr w:rsidR="002457D7" w:rsidTr="1A6266F8" w14:paraId="1A8BE7DE" w14:textId="77777777">
        <w:trPr>
          <w:trHeight w:val="300"/>
        </w:trPr>
        <w:tc>
          <w:tcPr>
            <w:tcW w:w="1035" w:type="dxa"/>
            <w:vMerge/>
          </w:tcPr>
          <w:p w:rsidR="002457D7" w:rsidP="002457D7" w:rsidRDefault="002457D7" w14:paraId="717FC15D" w14:textId="77777777"/>
        </w:tc>
        <w:tc>
          <w:tcPr>
            <w:tcW w:w="1856" w:type="dxa"/>
          </w:tcPr>
          <w:p w:rsidR="002457D7" w:rsidP="002457D7" w:rsidRDefault="002457D7" w14:paraId="5905497E" w14:textId="13B69327">
            <w:r>
              <w:t>Communication</w:t>
            </w:r>
          </w:p>
        </w:tc>
        <w:tc>
          <w:tcPr>
            <w:tcW w:w="3058" w:type="dxa"/>
          </w:tcPr>
          <w:p w:rsidR="002457D7" w:rsidP="002457D7" w:rsidRDefault="002457D7" w14:paraId="5A7E78E0" w14:textId="66A6D531">
            <w:r>
              <w:t>Promotion of National Apprenticeship Week (w/c 9</w:t>
            </w:r>
            <w:r w:rsidRPr="6E7E4CE9">
              <w:rPr>
                <w:vertAlign w:val="superscript"/>
              </w:rPr>
              <w:t>th</w:t>
            </w:r>
            <w:r>
              <w:t xml:space="preserve"> Feb)</w:t>
            </w:r>
          </w:p>
        </w:tc>
        <w:tc>
          <w:tcPr>
            <w:tcW w:w="6570" w:type="dxa"/>
          </w:tcPr>
          <w:p w:rsidR="002457D7" w:rsidP="002457D7" w:rsidRDefault="002457D7" w14:paraId="191C1681" w14:textId="1B764761">
            <w:r>
              <w:t>Students build on their learning from the previous week, accessing resources throughout NAW, and meeting a variety of apprentices and training providers.  Students have a greater number of conversations with curriculum staff and Employability Coordinator.</w:t>
            </w:r>
          </w:p>
        </w:tc>
        <w:tc>
          <w:tcPr>
            <w:tcW w:w="1566" w:type="dxa"/>
          </w:tcPr>
          <w:p w:rsidR="002457D7" w:rsidP="002457D7" w:rsidRDefault="002457D7" w14:paraId="30AE5B27" w14:textId="249C7781">
            <w:r>
              <w:t>1, 2, 5, 7</w:t>
            </w:r>
          </w:p>
        </w:tc>
      </w:tr>
      <w:tr w:rsidR="002457D7" w:rsidTr="1A6266F8" w14:paraId="7D6CAB9B" w14:textId="77777777">
        <w:trPr>
          <w:trHeight w:val="300"/>
        </w:trPr>
        <w:tc>
          <w:tcPr>
            <w:tcW w:w="1035" w:type="dxa"/>
            <w:vMerge/>
          </w:tcPr>
          <w:p w:rsidR="002457D7" w:rsidP="002457D7" w:rsidRDefault="002457D7" w14:paraId="5997D11D" w14:textId="77777777"/>
        </w:tc>
        <w:tc>
          <w:tcPr>
            <w:tcW w:w="1856" w:type="dxa"/>
          </w:tcPr>
          <w:p w:rsidR="002457D7" w:rsidP="002457D7" w:rsidRDefault="002457D7" w14:paraId="7D9629E7" w14:textId="79CC8C56">
            <w:r>
              <w:t>Enrichment (Careers)</w:t>
            </w:r>
          </w:p>
        </w:tc>
        <w:tc>
          <w:tcPr>
            <w:tcW w:w="3058" w:type="dxa"/>
          </w:tcPr>
          <w:p w:rsidR="002457D7" w:rsidP="002457D7" w:rsidRDefault="002457D7" w14:paraId="102AD6C4" w14:textId="05CC49AD">
            <w:r>
              <w:t>Launch of Apprenticeship Programme for Y12</w:t>
            </w:r>
          </w:p>
        </w:tc>
        <w:tc>
          <w:tcPr>
            <w:tcW w:w="6570" w:type="dxa"/>
          </w:tcPr>
          <w:p w:rsidR="002457D7" w:rsidP="002457D7" w:rsidRDefault="002457D7" w14:paraId="0BA579A8" w14:textId="617163CD">
            <w:r>
              <w:t>Employability Coordinator engages with students interested in learning more about apprenticeships through a structured programme of delivery, including employer engagement.  Students are better prepared and well-supported in researching and considering this option.</w:t>
            </w:r>
          </w:p>
        </w:tc>
        <w:tc>
          <w:tcPr>
            <w:tcW w:w="1566" w:type="dxa"/>
          </w:tcPr>
          <w:p w:rsidR="002457D7" w:rsidP="002457D7" w:rsidRDefault="002457D7" w14:paraId="509A4C8A" w14:textId="21303E75">
            <w:r>
              <w:t>1, 2, 3, 5, 7</w:t>
            </w:r>
          </w:p>
        </w:tc>
      </w:tr>
      <w:tr w:rsidR="002457D7" w:rsidTr="1A6266F8" w14:paraId="535365A3" w14:textId="77777777">
        <w:trPr>
          <w:trHeight w:val="300"/>
        </w:trPr>
        <w:tc>
          <w:tcPr>
            <w:tcW w:w="1035" w:type="dxa"/>
            <w:vMerge/>
          </w:tcPr>
          <w:p w:rsidR="002457D7" w:rsidP="002457D7" w:rsidRDefault="002457D7" w14:paraId="6C829BE5" w14:textId="77777777"/>
        </w:tc>
        <w:tc>
          <w:tcPr>
            <w:tcW w:w="1856" w:type="dxa"/>
          </w:tcPr>
          <w:p w:rsidR="002457D7" w:rsidP="002457D7" w:rsidRDefault="002457D7" w14:paraId="69A38245" w14:textId="5A1A4AA7">
            <w:r>
              <w:t>Skills &amp; Progression lesson</w:t>
            </w:r>
          </w:p>
        </w:tc>
        <w:tc>
          <w:tcPr>
            <w:tcW w:w="3058" w:type="dxa"/>
          </w:tcPr>
          <w:p w:rsidR="002457D7" w:rsidP="002457D7" w:rsidRDefault="002457D7" w14:paraId="40C9886D" w14:textId="2D0B6D09">
            <w:r>
              <w:t>Gap Years</w:t>
            </w:r>
          </w:p>
        </w:tc>
        <w:tc>
          <w:tcPr>
            <w:tcW w:w="6570" w:type="dxa"/>
          </w:tcPr>
          <w:p w:rsidR="002457D7" w:rsidP="002457D7" w:rsidRDefault="002457D7" w14:paraId="0E83A501" w14:textId="25781F8C">
            <w:r>
              <w:t xml:space="preserve">Students understand why a gap year </w:t>
            </w:r>
            <w:proofErr w:type="gramStart"/>
            <w:r>
              <w:t>can be a positive option</w:t>
            </w:r>
            <w:proofErr w:type="gramEnd"/>
            <w:r>
              <w:t>, how to make sure it adds value to future career plans, and the different opportunities to consider.</w:t>
            </w:r>
          </w:p>
        </w:tc>
        <w:tc>
          <w:tcPr>
            <w:tcW w:w="1566" w:type="dxa"/>
          </w:tcPr>
          <w:p w:rsidR="002457D7" w:rsidP="002457D7" w:rsidRDefault="002457D7" w14:paraId="6B5DBDF3" w14:textId="30FFBFDA">
            <w:r>
              <w:t>1, 2</w:t>
            </w:r>
          </w:p>
        </w:tc>
      </w:tr>
      <w:tr w:rsidR="002457D7" w:rsidTr="1A6266F8" w14:paraId="7C960E83" w14:textId="77777777">
        <w:trPr>
          <w:trHeight w:val="300"/>
        </w:trPr>
        <w:tc>
          <w:tcPr>
            <w:tcW w:w="1035" w:type="dxa"/>
            <w:vMerge/>
          </w:tcPr>
          <w:p w:rsidR="002457D7" w:rsidP="002457D7" w:rsidRDefault="002457D7" w14:paraId="7C176999" w14:textId="77777777"/>
        </w:tc>
        <w:tc>
          <w:tcPr>
            <w:tcW w:w="1856" w:type="dxa"/>
          </w:tcPr>
          <w:p w:rsidR="002457D7" w:rsidP="002457D7" w:rsidRDefault="002457D7" w14:paraId="2D8EE660" w14:textId="5A1A4AA7">
            <w:r>
              <w:t>Skills &amp; Progression lesson</w:t>
            </w:r>
          </w:p>
          <w:p w:rsidR="002457D7" w:rsidP="002457D7" w:rsidRDefault="002457D7" w14:paraId="1C1D80D3" w14:textId="1EB28171"/>
        </w:tc>
        <w:tc>
          <w:tcPr>
            <w:tcW w:w="3058" w:type="dxa"/>
          </w:tcPr>
          <w:p w:rsidR="002457D7" w:rsidP="002457D7" w:rsidRDefault="002457D7" w14:paraId="0B968081" w14:textId="00995D28">
            <w:r>
              <w:t>Super-curricular Activities</w:t>
            </w:r>
          </w:p>
        </w:tc>
        <w:tc>
          <w:tcPr>
            <w:tcW w:w="6570" w:type="dxa"/>
          </w:tcPr>
          <w:p w:rsidR="002457D7" w:rsidP="002457D7" w:rsidRDefault="002457D7" w14:paraId="5C30CB22" w14:textId="20F6BD5D">
            <w:r>
              <w:t>Students understand the value of engaging with activities that help them more fully explore their areas of interest (e.g. podcasts, MOOCs), and the skills they will develop (e.g. research, reflection)</w:t>
            </w:r>
          </w:p>
        </w:tc>
        <w:tc>
          <w:tcPr>
            <w:tcW w:w="1566" w:type="dxa"/>
          </w:tcPr>
          <w:p w:rsidR="002457D7" w:rsidP="002457D7" w:rsidRDefault="002457D7" w14:paraId="77016C74" w14:textId="0ED1B76C">
            <w:r>
              <w:t>1, 2</w:t>
            </w:r>
          </w:p>
        </w:tc>
      </w:tr>
      <w:tr w:rsidR="002457D7" w:rsidTr="1A6266F8" w14:paraId="4A70EF90" w14:textId="77777777">
        <w:trPr>
          <w:trHeight w:val="300"/>
        </w:trPr>
        <w:tc>
          <w:tcPr>
            <w:tcW w:w="1035" w:type="dxa"/>
            <w:vMerge/>
          </w:tcPr>
          <w:p w:rsidR="002457D7" w:rsidP="002457D7" w:rsidRDefault="002457D7" w14:paraId="2518A1AE" w14:textId="77777777"/>
        </w:tc>
        <w:tc>
          <w:tcPr>
            <w:tcW w:w="1856" w:type="dxa"/>
          </w:tcPr>
          <w:p w:rsidR="002457D7" w:rsidP="002457D7" w:rsidRDefault="002457D7" w14:paraId="3CFF5B37" w14:textId="2019E24E">
            <w:r>
              <w:t>Skills &amp; Progression lesson</w:t>
            </w:r>
          </w:p>
        </w:tc>
        <w:tc>
          <w:tcPr>
            <w:tcW w:w="3058" w:type="dxa"/>
          </w:tcPr>
          <w:p w:rsidR="002457D7" w:rsidP="002457D7" w:rsidRDefault="002457D7" w14:paraId="2B5B2001" w14:textId="7EBF7190">
            <w:r>
              <w:t>Employability Skills</w:t>
            </w:r>
          </w:p>
        </w:tc>
        <w:tc>
          <w:tcPr>
            <w:tcW w:w="6570" w:type="dxa"/>
          </w:tcPr>
          <w:p w:rsidR="002457D7" w:rsidP="002457D7" w:rsidRDefault="002457D7" w14:paraId="61E783BA" w14:textId="73FE106D">
            <w:r>
              <w:t>Students understand what hard and soft skills are, the meaning of ‘transferable skills’, the value employers place on such skills.  Students are supported to reflect on the employability skills they already have, how to evidence them, and how to develop them further.  The value of part-time work is discussed.</w:t>
            </w:r>
          </w:p>
        </w:tc>
        <w:tc>
          <w:tcPr>
            <w:tcW w:w="1566" w:type="dxa"/>
          </w:tcPr>
          <w:p w:rsidR="002457D7" w:rsidP="002457D7" w:rsidRDefault="002457D7" w14:paraId="09B56DB6" w14:textId="40D5ADD2">
            <w:r>
              <w:t>1, 2</w:t>
            </w:r>
          </w:p>
        </w:tc>
      </w:tr>
      <w:tr w:rsidR="002457D7" w:rsidTr="1A6266F8" w14:paraId="1F68C52F" w14:textId="77777777">
        <w:trPr>
          <w:trHeight w:val="300"/>
        </w:trPr>
        <w:tc>
          <w:tcPr>
            <w:tcW w:w="1035" w:type="dxa"/>
            <w:vMerge/>
          </w:tcPr>
          <w:p w:rsidR="002457D7" w:rsidP="002457D7" w:rsidRDefault="002457D7" w14:paraId="11820869" w14:textId="77777777"/>
        </w:tc>
        <w:tc>
          <w:tcPr>
            <w:tcW w:w="1856" w:type="dxa"/>
          </w:tcPr>
          <w:p w:rsidR="002457D7" w:rsidP="002457D7" w:rsidRDefault="002457D7" w14:paraId="448967A8" w14:textId="4B788F5E">
            <w:r>
              <w:t>Event</w:t>
            </w:r>
          </w:p>
        </w:tc>
        <w:tc>
          <w:tcPr>
            <w:tcW w:w="3058" w:type="dxa"/>
          </w:tcPr>
          <w:p w:rsidR="002457D7" w:rsidP="002457D7" w:rsidRDefault="002457D7" w14:paraId="665A64C1" w14:textId="48ECD9B8">
            <w:r>
              <w:t>Employers’ Careers Fair (March)</w:t>
            </w:r>
          </w:p>
        </w:tc>
        <w:tc>
          <w:tcPr>
            <w:tcW w:w="6570" w:type="dxa"/>
          </w:tcPr>
          <w:p w:rsidR="002457D7" w:rsidP="002457D7" w:rsidRDefault="002457D7" w14:paraId="34D84051" w14:textId="7788C7F3">
            <w:r>
              <w:t>All students are well prepared for the event, having researched employers and considered questions, enabling meaningful conversations to take place.  Students engage with a range of employers and are inspired to find out more about pathways and roles.</w:t>
            </w:r>
          </w:p>
        </w:tc>
        <w:tc>
          <w:tcPr>
            <w:tcW w:w="1566" w:type="dxa"/>
          </w:tcPr>
          <w:p w:rsidR="002457D7" w:rsidP="002457D7" w:rsidRDefault="002457D7" w14:paraId="67283518" w14:textId="3E16A347">
            <w:r>
              <w:t>1, 2, 5, 7</w:t>
            </w:r>
          </w:p>
        </w:tc>
      </w:tr>
      <w:tr w:rsidR="002457D7" w:rsidTr="1A6266F8" w14:paraId="26223344" w14:textId="77777777">
        <w:trPr>
          <w:trHeight w:val="300"/>
        </w:trPr>
        <w:tc>
          <w:tcPr>
            <w:tcW w:w="1035" w:type="dxa"/>
            <w:vMerge/>
          </w:tcPr>
          <w:p w:rsidR="002457D7" w:rsidP="002457D7" w:rsidRDefault="002457D7" w14:paraId="246E5D59" w14:textId="77777777"/>
        </w:tc>
        <w:tc>
          <w:tcPr>
            <w:tcW w:w="1856" w:type="dxa"/>
          </w:tcPr>
          <w:p w:rsidR="002457D7" w:rsidP="002457D7" w:rsidRDefault="002457D7" w14:paraId="38FFEA56" w14:textId="4B8E6AAB">
            <w:r>
              <w:t>Event</w:t>
            </w:r>
          </w:p>
        </w:tc>
        <w:tc>
          <w:tcPr>
            <w:tcW w:w="3058" w:type="dxa"/>
          </w:tcPr>
          <w:p w:rsidR="002457D7" w:rsidP="002457D7" w:rsidRDefault="002457D7" w14:paraId="4CCDB843" w14:textId="7BA8A1F3">
            <w:r>
              <w:t>Further &amp; Higher Education Fair (March)</w:t>
            </w:r>
          </w:p>
        </w:tc>
        <w:tc>
          <w:tcPr>
            <w:tcW w:w="6570" w:type="dxa"/>
          </w:tcPr>
          <w:p w:rsidR="002457D7" w:rsidP="002457D7" w:rsidRDefault="002457D7" w14:paraId="0B22C613" w14:textId="3C8DBD2C">
            <w:r>
              <w:t>All students are well prepared for the event, having researched education providers and considered questions, enabling meaningful conversations to take place.  Students understand more about what it could be like to study at different institutions, and the range of qualifications they could consider.</w:t>
            </w:r>
          </w:p>
        </w:tc>
        <w:tc>
          <w:tcPr>
            <w:tcW w:w="1566" w:type="dxa"/>
          </w:tcPr>
          <w:p w:rsidR="002457D7" w:rsidP="002457D7" w:rsidRDefault="002457D7" w14:paraId="50157150" w14:textId="4E3BDFC8">
            <w:r>
              <w:t>1, 2, 5, 7</w:t>
            </w:r>
          </w:p>
        </w:tc>
      </w:tr>
      <w:tr w:rsidR="002457D7" w:rsidTr="1A6266F8" w14:paraId="69FA4416" w14:textId="77777777">
        <w:trPr>
          <w:trHeight w:val="300"/>
        </w:trPr>
        <w:tc>
          <w:tcPr>
            <w:tcW w:w="1035" w:type="dxa"/>
            <w:vMerge/>
          </w:tcPr>
          <w:p w:rsidR="002457D7" w:rsidP="002457D7" w:rsidRDefault="002457D7" w14:paraId="0DD10B8D" w14:textId="77777777"/>
        </w:tc>
        <w:tc>
          <w:tcPr>
            <w:tcW w:w="1856" w:type="dxa"/>
          </w:tcPr>
          <w:p w:rsidR="002457D7" w:rsidP="002457D7" w:rsidRDefault="002457D7" w14:paraId="516FF87C" w14:textId="3AEFDD1B">
            <w:r>
              <w:t>Skills &amp; Progression lesson</w:t>
            </w:r>
          </w:p>
        </w:tc>
        <w:tc>
          <w:tcPr>
            <w:tcW w:w="3058" w:type="dxa"/>
          </w:tcPr>
          <w:p w:rsidR="002457D7" w:rsidP="002457D7" w:rsidRDefault="002457D7" w14:paraId="04A3FDEA" w14:textId="28E97E58">
            <w:r>
              <w:t>Interview skills</w:t>
            </w:r>
          </w:p>
        </w:tc>
        <w:tc>
          <w:tcPr>
            <w:tcW w:w="6570" w:type="dxa"/>
          </w:tcPr>
          <w:p w:rsidR="002457D7" w:rsidP="002457D7" w:rsidRDefault="002457D7" w14:paraId="0ACF12B7" w14:textId="07181D50">
            <w:r>
              <w:t>Students are prepared for modern recruitment practices, understand the skills employers are looking for, and can communicate their responses confidently using the STAR technique</w:t>
            </w:r>
          </w:p>
        </w:tc>
        <w:tc>
          <w:tcPr>
            <w:tcW w:w="1566" w:type="dxa"/>
          </w:tcPr>
          <w:p w:rsidR="002457D7" w:rsidP="002457D7" w:rsidRDefault="002457D7" w14:paraId="4B8917F7" w14:textId="3835D20A">
            <w:r>
              <w:t>1, 2</w:t>
            </w:r>
          </w:p>
        </w:tc>
      </w:tr>
      <w:tr w:rsidR="002457D7" w:rsidTr="1A6266F8" w14:paraId="56296DC8" w14:textId="77777777">
        <w:trPr>
          <w:trHeight w:val="300"/>
        </w:trPr>
        <w:tc>
          <w:tcPr>
            <w:tcW w:w="1035" w:type="dxa"/>
            <w:vMerge/>
          </w:tcPr>
          <w:p w:rsidR="002457D7" w:rsidP="002457D7" w:rsidRDefault="002457D7" w14:paraId="67870716" w14:textId="77777777"/>
        </w:tc>
        <w:tc>
          <w:tcPr>
            <w:tcW w:w="1856" w:type="dxa"/>
          </w:tcPr>
          <w:p w:rsidR="002457D7" w:rsidP="002457D7" w:rsidRDefault="002457D7" w14:paraId="7E481580" w14:textId="14CE2951">
            <w:r>
              <w:t>Skills &amp; Progression lesson</w:t>
            </w:r>
          </w:p>
        </w:tc>
        <w:tc>
          <w:tcPr>
            <w:tcW w:w="3058" w:type="dxa"/>
          </w:tcPr>
          <w:p w:rsidR="002457D7" w:rsidP="002457D7" w:rsidRDefault="002457D7" w14:paraId="4D35109A" w14:textId="4687A994">
            <w:r>
              <w:t>LinkedIn and CV workshop</w:t>
            </w:r>
          </w:p>
        </w:tc>
        <w:tc>
          <w:tcPr>
            <w:tcW w:w="6570" w:type="dxa"/>
          </w:tcPr>
          <w:p w:rsidR="002457D7" w:rsidP="002457D7" w:rsidRDefault="002457D7" w14:paraId="5511057B" w14:textId="0F9FAEB2">
            <w:r>
              <w:t xml:space="preserve">Students are introduced to </w:t>
            </w:r>
            <w:proofErr w:type="gramStart"/>
            <w:r>
              <w:t>LinkedIn, and</w:t>
            </w:r>
            <w:proofErr w:type="gramEnd"/>
            <w:r>
              <w:t xml:space="preserve"> understand how professional social media platforms can be used effectively to learn from and connect with employers, and to showcase their skills and enthusiasm. Students understand what employers look for in a CV, and how best to present their skills, knowledge and qualifications.</w:t>
            </w:r>
          </w:p>
        </w:tc>
        <w:tc>
          <w:tcPr>
            <w:tcW w:w="1566" w:type="dxa"/>
          </w:tcPr>
          <w:p w:rsidR="002457D7" w:rsidP="002457D7" w:rsidRDefault="002457D7" w14:paraId="460DD489" w14:textId="093A289D">
            <w:r>
              <w:t>1, 2</w:t>
            </w:r>
          </w:p>
        </w:tc>
      </w:tr>
      <w:tr w:rsidR="002457D7" w:rsidTr="1A6266F8" w14:paraId="5A50504F" w14:textId="77777777">
        <w:trPr>
          <w:trHeight w:val="300"/>
        </w:trPr>
        <w:tc>
          <w:tcPr>
            <w:tcW w:w="1035" w:type="dxa"/>
            <w:vMerge w:val="restart"/>
          </w:tcPr>
          <w:p w:rsidR="002457D7" w:rsidP="002457D7" w:rsidRDefault="002457D7" w14:paraId="0BE7BECA" w14:textId="12551B0C">
            <w:r>
              <w:t>Summer</w:t>
            </w:r>
          </w:p>
        </w:tc>
        <w:tc>
          <w:tcPr>
            <w:tcW w:w="1856" w:type="dxa"/>
          </w:tcPr>
          <w:p w:rsidR="002457D7" w:rsidP="002457D7" w:rsidRDefault="002457D7" w14:paraId="4BB852B8" w14:textId="764EA56D">
            <w:r>
              <w:t>Skills &amp; Progression lesson</w:t>
            </w:r>
          </w:p>
          <w:p w:rsidR="002457D7" w:rsidP="002457D7" w:rsidRDefault="002457D7" w14:paraId="683780A7" w14:textId="3547D25E"/>
        </w:tc>
        <w:tc>
          <w:tcPr>
            <w:tcW w:w="3058" w:type="dxa"/>
          </w:tcPr>
          <w:p w:rsidR="002457D7" w:rsidP="002457D7" w:rsidRDefault="002457D7" w14:paraId="51C07036" w14:textId="348A5436">
            <w:r>
              <w:t>Progression: Narrowing down my options</w:t>
            </w:r>
          </w:p>
        </w:tc>
        <w:tc>
          <w:tcPr>
            <w:tcW w:w="6570" w:type="dxa"/>
          </w:tcPr>
          <w:p w:rsidR="002457D7" w:rsidP="002457D7" w:rsidRDefault="002457D7" w14:paraId="3BDA5FDF" w14:textId="23F182F3">
            <w:r>
              <w:t>Students understand how to determine the factors that matter to them when selecting universities and apprenticeships to apply to.  Decisions and choices are informed and well-researched.</w:t>
            </w:r>
          </w:p>
        </w:tc>
        <w:tc>
          <w:tcPr>
            <w:tcW w:w="1566" w:type="dxa"/>
          </w:tcPr>
          <w:p w:rsidR="002457D7" w:rsidP="002457D7" w:rsidRDefault="002457D7" w14:paraId="52FD8291" w14:textId="505AAF2F">
            <w:r>
              <w:t>1</w:t>
            </w:r>
          </w:p>
        </w:tc>
      </w:tr>
      <w:tr w:rsidR="002457D7" w:rsidTr="1A6266F8" w14:paraId="0DED047D" w14:textId="77777777">
        <w:trPr>
          <w:trHeight w:val="300"/>
        </w:trPr>
        <w:tc>
          <w:tcPr>
            <w:tcW w:w="1035" w:type="dxa"/>
            <w:vMerge/>
          </w:tcPr>
          <w:p w:rsidR="002457D7" w:rsidP="002457D7" w:rsidRDefault="002457D7" w14:paraId="1AB7F2F8" w14:textId="77777777"/>
        </w:tc>
        <w:tc>
          <w:tcPr>
            <w:tcW w:w="1856" w:type="dxa"/>
          </w:tcPr>
          <w:p w:rsidR="002457D7" w:rsidP="002457D7" w:rsidRDefault="002457D7" w14:paraId="366EDF19" w14:textId="764EA56D">
            <w:r>
              <w:t>Skills &amp; Progression lesson</w:t>
            </w:r>
          </w:p>
          <w:p w:rsidR="002457D7" w:rsidP="002457D7" w:rsidRDefault="002457D7" w14:paraId="076F63AE" w14:textId="005CA54F"/>
        </w:tc>
        <w:tc>
          <w:tcPr>
            <w:tcW w:w="3058" w:type="dxa"/>
          </w:tcPr>
          <w:p w:rsidR="002457D7" w:rsidP="002457D7" w:rsidRDefault="002457D7" w14:paraId="4D8D824D" w14:textId="590BD9C0">
            <w:r>
              <w:t>Applying through UCAS</w:t>
            </w:r>
          </w:p>
        </w:tc>
        <w:tc>
          <w:tcPr>
            <w:tcW w:w="6570" w:type="dxa"/>
          </w:tcPr>
          <w:p w:rsidR="002457D7" w:rsidP="002457D7" w:rsidRDefault="002457D7" w14:paraId="099BF967" w14:textId="03AD6D02">
            <w:r>
              <w:t>All students create a UCAS account and understand the value of the resources for both university and apprenticeship pathways.  Applications are started, and our ‘Right First Time’ approach supports students in entering key information correctly.  All applications are completed up to (but excluding) the Personal Statement.</w:t>
            </w:r>
          </w:p>
          <w:p w:rsidR="002457D7" w:rsidP="002457D7" w:rsidRDefault="002457D7" w14:paraId="7960EE8B" w14:textId="289A2CF6">
            <w:r>
              <w:t>Personal Statement workshops ensure students understand how the PS is used by universities, and how it should be structured and written, what to include.  Early Applicants understand they should provide a first draft by the end of term.</w:t>
            </w:r>
          </w:p>
          <w:p w:rsidR="002457D7" w:rsidP="002457D7" w:rsidRDefault="002457D7" w14:paraId="22546D70" w14:textId="5555E78A">
            <w:r>
              <w:t>All students understand the college’s UCAS process and deadlines, as well as the UCAS process and external deadlines.</w:t>
            </w:r>
          </w:p>
        </w:tc>
        <w:tc>
          <w:tcPr>
            <w:tcW w:w="1566" w:type="dxa"/>
          </w:tcPr>
          <w:p w:rsidR="002457D7" w:rsidP="002457D7" w:rsidRDefault="002457D7" w14:paraId="4F83A226" w14:textId="260B7959">
            <w:r>
              <w:t>1</w:t>
            </w:r>
          </w:p>
        </w:tc>
      </w:tr>
      <w:tr w:rsidR="002457D7" w:rsidTr="1A6266F8" w14:paraId="7AAA3D6C" w14:textId="77777777">
        <w:trPr>
          <w:trHeight w:val="300"/>
        </w:trPr>
        <w:tc>
          <w:tcPr>
            <w:tcW w:w="1035" w:type="dxa"/>
            <w:vMerge/>
          </w:tcPr>
          <w:p w:rsidR="002457D7" w:rsidP="002457D7" w:rsidRDefault="002457D7" w14:paraId="03223298" w14:textId="77777777"/>
        </w:tc>
        <w:tc>
          <w:tcPr>
            <w:tcW w:w="1856" w:type="dxa"/>
          </w:tcPr>
          <w:p w:rsidR="002457D7" w:rsidP="002457D7" w:rsidRDefault="002457D7" w14:paraId="4B202047" w14:textId="6F0C0BD1">
            <w:r>
              <w:t>Communication</w:t>
            </w:r>
          </w:p>
        </w:tc>
        <w:tc>
          <w:tcPr>
            <w:tcW w:w="3058" w:type="dxa"/>
          </w:tcPr>
          <w:p w:rsidR="002457D7" w:rsidP="002457D7" w:rsidRDefault="002457D7" w14:paraId="270C9EC3" w14:textId="5037AFC1">
            <w:r>
              <w:t>Identifying students who may require additional support with their UCAS application</w:t>
            </w:r>
          </w:p>
        </w:tc>
        <w:tc>
          <w:tcPr>
            <w:tcW w:w="6570" w:type="dxa"/>
          </w:tcPr>
          <w:p w:rsidR="002457D7" w:rsidP="002457D7" w:rsidRDefault="002457D7" w14:paraId="6C2F8D01" w14:textId="59B319C4">
            <w:pPr>
              <w:spacing w:line="259" w:lineRule="auto"/>
            </w:pPr>
            <w:r>
              <w:t>Students are surveyed to establish those who: have experienced extenuating circumstances that have impacted on their recent education; are eligible for the fee waiver; might not be eligible for all or elements of Student Finance (non-UK students).  These students are supported so that: our reference reflects the impact of extenuating circumstances for universities to consider when making contextual offers; those students not eligible for both Student Finance and Maintenance Loans are given 1:1 guidance to help consider their options.</w:t>
            </w:r>
          </w:p>
        </w:tc>
        <w:tc>
          <w:tcPr>
            <w:tcW w:w="1566" w:type="dxa"/>
          </w:tcPr>
          <w:p w:rsidR="002457D7" w:rsidP="002457D7" w:rsidRDefault="002457D7" w14:paraId="2AB57675" w14:textId="626F4F5A">
            <w:r>
              <w:t>1, 3</w:t>
            </w:r>
          </w:p>
        </w:tc>
      </w:tr>
      <w:tr w:rsidR="002457D7" w:rsidTr="1A6266F8" w14:paraId="20FA0D93" w14:textId="77777777">
        <w:trPr>
          <w:trHeight w:val="300"/>
        </w:trPr>
        <w:tc>
          <w:tcPr>
            <w:tcW w:w="1035" w:type="dxa"/>
            <w:vMerge/>
          </w:tcPr>
          <w:p w:rsidR="002457D7" w:rsidP="002457D7" w:rsidRDefault="002457D7" w14:paraId="65EAAC99" w14:textId="77777777"/>
        </w:tc>
        <w:tc>
          <w:tcPr>
            <w:tcW w:w="1856" w:type="dxa"/>
          </w:tcPr>
          <w:p w:rsidR="002457D7" w:rsidP="002457D7" w:rsidRDefault="002457D7" w14:paraId="39CBA5EE" w14:textId="6F4EDDCD">
            <w:r>
              <w:t>Event</w:t>
            </w:r>
          </w:p>
        </w:tc>
        <w:tc>
          <w:tcPr>
            <w:tcW w:w="3058" w:type="dxa"/>
          </w:tcPr>
          <w:p w:rsidR="002457D7" w:rsidP="002457D7" w:rsidRDefault="002457D7" w14:paraId="7EB6A935" w14:textId="37911D4D">
            <w:r>
              <w:t>Futures Week (w/c 22nd June).  All Y12 students are off-timetable for a week of careers-focussed learning, engagement and activities, held in college</w:t>
            </w:r>
          </w:p>
        </w:tc>
        <w:tc>
          <w:tcPr>
            <w:tcW w:w="6570" w:type="dxa"/>
          </w:tcPr>
          <w:p w:rsidR="002457D7" w:rsidP="002457D7" w:rsidRDefault="002457D7" w14:paraId="6BD42940" w14:textId="0AFEF055">
            <w:r>
              <w:t xml:space="preserve">Subject Insight Day: Students are inspired and understand where their current subjects could lead, and the transferable skills they have developed.  </w:t>
            </w:r>
          </w:p>
          <w:p w:rsidR="002457D7" w:rsidP="002457D7" w:rsidRDefault="002457D7" w14:paraId="2DF38B8D" w14:textId="20CF2BF7">
            <w:r>
              <w:t xml:space="preserve">Careers Insights Day: All students attend at least 3 Careers Insights talks and workshops where they actively engage with employers and learn about a wide range of sectors, roles, and pathways.  Students engaging in the workshops benefit from an experience of a </w:t>
            </w:r>
            <w:proofErr w:type="gramStart"/>
            <w:r>
              <w:t>workplace, and</w:t>
            </w:r>
            <w:proofErr w:type="gramEnd"/>
            <w:r>
              <w:t xml:space="preserve"> gain deeper knowledge of a role/sector.</w:t>
            </w:r>
          </w:p>
          <w:p w:rsidR="002457D7" w:rsidP="002457D7" w:rsidRDefault="002457D7" w14:paraId="32806B77" w14:textId="05C84E99">
            <w:r>
              <w:t xml:space="preserve">HE Taster Day: All students attend at least 2 HE subject taster sessions delivered by university lecturers, where they learn about studying a wide range of subjects at a higher </w:t>
            </w:r>
            <w:proofErr w:type="gramStart"/>
            <w:r>
              <w:t>level, and</w:t>
            </w:r>
            <w:proofErr w:type="gramEnd"/>
            <w:r>
              <w:t xml:space="preserve"> understand what it could be like to study as an undergraduate.</w:t>
            </w:r>
          </w:p>
          <w:p w:rsidR="002457D7" w:rsidP="002457D7" w:rsidRDefault="002457D7" w14:paraId="6A412A2F" w14:textId="51377295">
            <w:r>
              <w:t>Skills Day: All students attend at least 3 Skills sessions, including Employability and Financial skills, delivered by employers and other organisations.  Students learn more about modern recruitment practices and what employers are looking for.  Students also learn how to manage their money as a student or living independently.</w:t>
            </w:r>
          </w:p>
          <w:p w:rsidR="002457D7" w:rsidP="002457D7" w:rsidRDefault="00C51EB7" w14:paraId="7189F23E" w14:textId="613FD7FC">
            <w:r>
              <w:t xml:space="preserve">Pathways Day: </w:t>
            </w:r>
            <w:r w:rsidR="002457D7">
              <w:t xml:space="preserve">Students </w:t>
            </w:r>
            <w:r>
              <w:t xml:space="preserve">attend at least 3 sessions around their chosen pathways – HE, apprenticeships, gap year.  They </w:t>
            </w:r>
            <w:r w:rsidR="002457D7">
              <w:t>are also able to access a wide range of additional sessions such as EPQ, supporting neurodiversity in the workplace, Oxbridge, MDV, music and performance audition support.</w:t>
            </w:r>
          </w:p>
          <w:p w:rsidR="002457D7" w:rsidP="002457D7" w:rsidRDefault="002457D7" w14:paraId="7548FC87" w14:textId="0800EB59">
            <w:r>
              <w:t xml:space="preserve">Curriculum staff facilitate all sessions, working in related areas where possible, so that their learning is extended beyond the </w:t>
            </w:r>
            <w:proofErr w:type="gramStart"/>
            <w:r>
              <w:t>classroom</w:t>
            </w:r>
            <w:proofErr w:type="gramEnd"/>
            <w:r>
              <w:t xml:space="preserve"> and they are able to network with employers.  Staff </w:t>
            </w:r>
            <w:proofErr w:type="gramStart"/>
            <w:r>
              <w:t>are able to</w:t>
            </w:r>
            <w:proofErr w:type="gramEnd"/>
            <w:r>
              <w:t xml:space="preserve"> plan future engagement with employers to support curriculum learning.</w:t>
            </w:r>
          </w:p>
        </w:tc>
        <w:tc>
          <w:tcPr>
            <w:tcW w:w="1566" w:type="dxa"/>
          </w:tcPr>
          <w:p w:rsidR="002457D7" w:rsidP="002457D7" w:rsidRDefault="002457D7" w14:paraId="48D3D2D6" w14:textId="2BF3774F">
            <w:r>
              <w:t>1, 2, 3, 4, 5, 6, 7</w:t>
            </w:r>
          </w:p>
        </w:tc>
      </w:tr>
      <w:tr w:rsidR="002457D7" w:rsidTr="1A6266F8" w14:paraId="3EE4B535" w14:textId="77777777">
        <w:trPr>
          <w:trHeight w:val="300"/>
        </w:trPr>
        <w:tc>
          <w:tcPr>
            <w:tcW w:w="1035" w:type="dxa"/>
            <w:vMerge/>
          </w:tcPr>
          <w:p w:rsidR="002457D7" w:rsidP="002457D7" w:rsidRDefault="002457D7" w14:paraId="403F0D64" w14:textId="77777777"/>
        </w:tc>
        <w:tc>
          <w:tcPr>
            <w:tcW w:w="1856" w:type="dxa"/>
          </w:tcPr>
          <w:p w:rsidR="002457D7" w:rsidP="002457D7" w:rsidRDefault="002457D7" w14:paraId="51D38FB3" w14:textId="7CCD95D2">
            <w:r>
              <w:t>Event</w:t>
            </w:r>
          </w:p>
        </w:tc>
        <w:tc>
          <w:tcPr>
            <w:tcW w:w="3058" w:type="dxa"/>
          </w:tcPr>
          <w:p w:rsidR="002457D7" w:rsidP="002457D7" w:rsidRDefault="002457D7" w14:paraId="4D8B9A68" w14:textId="58D15F22">
            <w:r>
              <w:t>Higher Education Evening for Parents and Carers – delivered in collaboration with University of Nottingham and Nottingham Trent University</w:t>
            </w:r>
            <w:r w:rsidR="00C51EB7">
              <w:t xml:space="preserve"> (location tbc)</w:t>
            </w:r>
          </w:p>
        </w:tc>
        <w:tc>
          <w:tcPr>
            <w:tcW w:w="6570" w:type="dxa"/>
          </w:tcPr>
          <w:p w:rsidR="002457D7" w:rsidP="002457D7" w:rsidRDefault="002457D7" w14:paraId="09340869" w14:textId="0D6CDE3E">
            <w:r>
              <w:t xml:space="preserve">Parents/carers (and students attending with them) understand the college process for supporting students applying through UCAS, and our internal deadlines.  Attendees also learn about the overall UCAS process and deadlines, as well as Student Finance.  Attendees </w:t>
            </w:r>
            <w:proofErr w:type="gramStart"/>
            <w:r>
              <w:t>are able to</w:t>
            </w:r>
            <w:proofErr w:type="gramEnd"/>
            <w:r>
              <w:t xml:space="preserve"> find out from a student panel about university life, and different experiences.  All resources are shared with all Y12 parents and carers.</w:t>
            </w:r>
          </w:p>
        </w:tc>
        <w:tc>
          <w:tcPr>
            <w:tcW w:w="1566" w:type="dxa"/>
          </w:tcPr>
          <w:p w:rsidR="002457D7" w:rsidP="002457D7" w:rsidRDefault="002457D7" w14:paraId="51D33053" w14:textId="2808BFA7">
            <w:r>
              <w:t>1, 2, 7</w:t>
            </w:r>
          </w:p>
        </w:tc>
      </w:tr>
    </w:tbl>
    <w:p w:rsidR="00121816" w:rsidP="00160372" w:rsidRDefault="00121816" w14:paraId="0348B097" w14:textId="77777777"/>
    <w:p w:rsidR="6E7E4CE9" w:rsidRDefault="6E7E4CE9" w14:paraId="1C675EE8" w14:textId="305821D7"/>
    <w:p w:rsidR="218C1CC7" w:rsidRDefault="218C1CC7" w14:paraId="161B015A" w14:textId="758768C6">
      <w:r w:rsidRPr="6E7E4CE9">
        <w:rPr>
          <w:rStyle w:val="BookTitle"/>
        </w:rPr>
        <w:t>Year 13</w:t>
      </w:r>
    </w:p>
    <w:tbl>
      <w:tblPr>
        <w:tblStyle w:val="TableGrid"/>
        <w:tblW w:w="0" w:type="auto"/>
        <w:tblLayout w:type="fixed"/>
        <w:tblLook w:val="06A0" w:firstRow="1" w:lastRow="0" w:firstColumn="1" w:lastColumn="0" w:noHBand="1" w:noVBand="1"/>
      </w:tblPr>
      <w:tblGrid>
        <w:gridCol w:w="1020"/>
        <w:gridCol w:w="1845"/>
        <w:gridCol w:w="3045"/>
        <w:gridCol w:w="6615"/>
        <w:gridCol w:w="1530"/>
      </w:tblGrid>
      <w:tr w:rsidR="6E7E4CE9" w:rsidTr="653F32A3" w14:paraId="0C3D966D" w14:textId="77777777">
        <w:trPr>
          <w:trHeight w:val="300"/>
        </w:trPr>
        <w:tc>
          <w:tcPr>
            <w:tcW w:w="1020" w:type="dxa"/>
            <w:tcMar/>
          </w:tcPr>
          <w:p w:rsidR="6E7E4CE9" w:rsidRDefault="6E7E4CE9" w14:paraId="389AA13B" w14:textId="1AB1C8B2">
            <w:r>
              <w:t>Term</w:t>
            </w:r>
          </w:p>
        </w:tc>
        <w:tc>
          <w:tcPr>
            <w:tcW w:w="1845" w:type="dxa"/>
            <w:tcMar/>
          </w:tcPr>
          <w:p w:rsidR="6E7E4CE9" w:rsidRDefault="6E7E4CE9" w14:paraId="62CB745A" w14:textId="4AAA3BE6">
            <w:r>
              <w:t>Delivery type</w:t>
            </w:r>
          </w:p>
        </w:tc>
        <w:tc>
          <w:tcPr>
            <w:tcW w:w="3045" w:type="dxa"/>
            <w:tcMar/>
          </w:tcPr>
          <w:p w:rsidR="6E7E4CE9" w:rsidRDefault="6E7E4CE9" w14:paraId="439DD13B" w14:textId="1A6EE676">
            <w:r>
              <w:t>Activity</w:t>
            </w:r>
          </w:p>
        </w:tc>
        <w:tc>
          <w:tcPr>
            <w:tcW w:w="6615" w:type="dxa"/>
            <w:tcMar/>
          </w:tcPr>
          <w:p w:rsidR="6E7E4CE9" w:rsidRDefault="6E7E4CE9" w14:paraId="57B49F47" w14:textId="7AF56C52">
            <w:r>
              <w:t>Intended Learning Outcomes</w:t>
            </w:r>
          </w:p>
        </w:tc>
        <w:tc>
          <w:tcPr>
            <w:tcW w:w="1530" w:type="dxa"/>
            <w:tcMar/>
          </w:tcPr>
          <w:p w:rsidR="6E7E4CE9" w:rsidRDefault="6E7E4CE9" w14:paraId="131429AD" w14:textId="5CD9424B">
            <w:r>
              <w:t>Gatsby Benchmarks</w:t>
            </w:r>
          </w:p>
        </w:tc>
      </w:tr>
      <w:tr w:rsidR="6E7E4CE9" w:rsidTr="653F32A3" w14:paraId="65E5C207" w14:textId="77777777">
        <w:trPr>
          <w:trHeight w:val="300"/>
        </w:trPr>
        <w:tc>
          <w:tcPr>
            <w:tcW w:w="1020" w:type="dxa"/>
            <w:vMerge w:val="restart"/>
            <w:tcMar/>
          </w:tcPr>
          <w:p w:rsidR="6B9B8F0F" w:rsidP="6E7E4CE9" w:rsidRDefault="6B9B8F0F" w14:paraId="66C962A0" w14:textId="3BB7FD1E">
            <w:pPr>
              <w:spacing w:line="259" w:lineRule="auto"/>
            </w:pPr>
            <w:r>
              <w:t>Autumn</w:t>
            </w:r>
          </w:p>
        </w:tc>
        <w:tc>
          <w:tcPr>
            <w:tcW w:w="1845" w:type="dxa"/>
            <w:tcMar/>
          </w:tcPr>
          <w:p w:rsidR="1B68B66A" w:rsidRDefault="1B68B66A" w14:paraId="4C69A89E" w14:textId="7FDB9053">
            <w:r>
              <w:t>Skills &amp; Progression lesson</w:t>
            </w:r>
            <w:r w:rsidR="70BB867A">
              <w:t xml:space="preserve"> / </w:t>
            </w:r>
            <w:r w:rsidR="28539FAA">
              <w:t>Bespoke sessions</w:t>
            </w:r>
          </w:p>
        </w:tc>
        <w:tc>
          <w:tcPr>
            <w:tcW w:w="3045" w:type="dxa"/>
            <w:tcMar/>
          </w:tcPr>
          <w:p w:rsidR="1B68B66A" w:rsidP="6E7E4CE9" w:rsidRDefault="1B68B66A" w14:paraId="2E64310A" w14:textId="6B2028B2">
            <w:r>
              <w:t>Progression support</w:t>
            </w:r>
          </w:p>
        </w:tc>
        <w:tc>
          <w:tcPr>
            <w:tcW w:w="6615" w:type="dxa"/>
            <w:tcMar/>
          </w:tcPr>
          <w:p w:rsidR="1B68B66A" w:rsidP="6E7E4CE9" w:rsidRDefault="1B68B66A" w14:paraId="1A747EF1" w14:textId="09B53A61">
            <w:r>
              <w:t xml:space="preserve">Students are well-supported with their UCAS </w:t>
            </w:r>
            <w:proofErr w:type="gramStart"/>
            <w:r>
              <w:t>applications, and</w:t>
            </w:r>
            <w:proofErr w:type="gramEnd"/>
            <w:r>
              <w:t xml:space="preserve"> submit them in accordance with college deadlines.  Oxbridge </w:t>
            </w:r>
            <w:r w:rsidR="7CA1E5D1">
              <w:t xml:space="preserve">and MDV </w:t>
            </w:r>
            <w:r>
              <w:t>a</w:t>
            </w:r>
            <w:r w:rsidR="3012DEB5">
              <w:t xml:space="preserve">pplicants receive </w:t>
            </w:r>
            <w:r w:rsidR="601918EA">
              <w:t>targeted</w:t>
            </w:r>
            <w:r w:rsidR="3012DEB5">
              <w:t xml:space="preserve"> support with interview prep and practice from Oxbridge </w:t>
            </w:r>
            <w:r w:rsidR="3D3E9C86">
              <w:t xml:space="preserve">and MDV </w:t>
            </w:r>
            <w:r w:rsidR="3012DEB5">
              <w:t>Coordinator</w:t>
            </w:r>
            <w:r w:rsidR="092649FC">
              <w:t>s</w:t>
            </w:r>
            <w:r w:rsidR="3012DEB5">
              <w:t xml:space="preserve"> and alumni.</w:t>
            </w:r>
          </w:p>
        </w:tc>
        <w:tc>
          <w:tcPr>
            <w:tcW w:w="1530" w:type="dxa"/>
            <w:tcMar/>
          </w:tcPr>
          <w:p w:rsidR="10ADC82E" w:rsidP="6E7E4CE9" w:rsidRDefault="10ADC82E" w14:paraId="49C3BFFC" w14:textId="1B1478F5">
            <w:r>
              <w:t>1, 3, 7</w:t>
            </w:r>
          </w:p>
        </w:tc>
      </w:tr>
      <w:tr w:rsidR="653F32A3" w:rsidTr="653F32A3" w14:paraId="6D783D85">
        <w:trPr>
          <w:trHeight w:val="300"/>
        </w:trPr>
        <w:tc>
          <w:tcPr>
            <w:tcW w:w="1020" w:type="dxa"/>
            <w:vMerge/>
            <w:tcMar/>
          </w:tcPr>
          <w:p w14:paraId="752DBA19"/>
        </w:tc>
        <w:tc>
          <w:tcPr>
            <w:tcW w:w="1845" w:type="dxa"/>
            <w:tcMar/>
          </w:tcPr>
          <w:p w:rsidR="50EE18E8" w:rsidP="653F32A3" w:rsidRDefault="50EE18E8" w14:paraId="4297E73B" w14:textId="6D6FCF0D">
            <w:pPr>
              <w:pStyle w:val="Normal"/>
            </w:pPr>
            <w:r w:rsidR="50EE18E8">
              <w:rPr/>
              <w:t>Skills &amp; Progression lesson</w:t>
            </w:r>
          </w:p>
        </w:tc>
        <w:tc>
          <w:tcPr>
            <w:tcW w:w="3045" w:type="dxa"/>
            <w:tcMar/>
          </w:tcPr>
          <w:p w:rsidR="50EE18E8" w:rsidP="653F32A3" w:rsidRDefault="50EE18E8" w14:paraId="4D6DB27F" w14:textId="594CA059">
            <w:pPr>
              <w:pStyle w:val="Normal"/>
            </w:pPr>
            <w:r w:rsidR="50EE18E8">
              <w:rPr/>
              <w:t>Understanding your finances</w:t>
            </w:r>
          </w:p>
        </w:tc>
        <w:tc>
          <w:tcPr>
            <w:tcW w:w="6615" w:type="dxa"/>
            <w:tcMar/>
          </w:tcPr>
          <w:p w:rsidR="50EE18E8" w:rsidP="653F32A3" w:rsidRDefault="50EE18E8" w14:paraId="0D832870" w14:textId="6503DA15">
            <w:pPr>
              <w:pStyle w:val="Normal"/>
            </w:pPr>
            <w:r w:rsidR="50EE18E8">
              <w:rPr/>
              <w:t xml:space="preserve">Students build on </w:t>
            </w:r>
            <w:r w:rsidR="50EE18E8">
              <w:rPr/>
              <w:t>previous</w:t>
            </w:r>
            <w:r w:rsidR="50EE18E8">
              <w:rPr/>
              <w:t xml:space="preserve"> learning around bank accounts, pay slips, working part-time as a student</w:t>
            </w:r>
            <w:r w:rsidR="0FBC9959">
              <w:rPr/>
              <w:t xml:space="preserve">, student finance, scholarships, </w:t>
            </w:r>
            <w:r w:rsidR="0FBC9959">
              <w:rPr/>
              <w:t>bursaries</w:t>
            </w:r>
            <w:r w:rsidR="0FBC9959">
              <w:rPr/>
              <w:t xml:space="preserve"> and Disabled Students Allowance</w:t>
            </w:r>
          </w:p>
        </w:tc>
        <w:tc>
          <w:tcPr>
            <w:tcW w:w="1530" w:type="dxa"/>
            <w:tcMar/>
          </w:tcPr>
          <w:p w:rsidR="0FBC9959" w:rsidP="653F32A3" w:rsidRDefault="0FBC9959" w14:paraId="0545B341" w14:textId="641E93E9">
            <w:pPr>
              <w:pStyle w:val="Normal"/>
            </w:pPr>
            <w:r w:rsidR="0FBC9959">
              <w:rPr/>
              <w:t>1, 3</w:t>
            </w:r>
          </w:p>
        </w:tc>
      </w:tr>
      <w:tr w:rsidR="653F32A3" w:rsidTr="653F32A3" w14:paraId="45BE7066">
        <w:trPr>
          <w:trHeight w:val="300"/>
        </w:trPr>
        <w:tc>
          <w:tcPr>
            <w:tcW w:w="1020" w:type="dxa"/>
            <w:vMerge/>
            <w:tcMar/>
          </w:tcPr>
          <w:p w14:paraId="09CE69A4"/>
        </w:tc>
        <w:tc>
          <w:tcPr>
            <w:tcW w:w="1845" w:type="dxa"/>
            <w:tcMar/>
          </w:tcPr>
          <w:p w:rsidR="57070B92" w:rsidP="653F32A3" w:rsidRDefault="57070B92" w14:paraId="3E05223E" w14:textId="707B185E">
            <w:pPr>
              <w:pStyle w:val="Normal"/>
            </w:pPr>
            <w:r w:rsidR="57070B92">
              <w:rPr/>
              <w:t>Skills &amp; Progression lesson</w:t>
            </w:r>
          </w:p>
        </w:tc>
        <w:tc>
          <w:tcPr>
            <w:tcW w:w="3045" w:type="dxa"/>
            <w:tcMar/>
          </w:tcPr>
          <w:p w:rsidR="57070B92" w:rsidP="653F32A3" w:rsidRDefault="57070B92" w14:paraId="15D9C78A" w14:textId="28D07D86">
            <w:pPr>
              <w:pStyle w:val="Normal"/>
            </w:pPr>
            <w:r w:rsidR="57070B92">
              <w:rPr/>
              <w:t>Living Independently</w:t>
            </w:r>
          </w:p>
        </w:tc>
        <w:tc>
          <w:tcPr>
            <w:tcW w:w="6615" w:type="dxa"/>
            <w:tcMar/>
          </w:tcPr>
          <w:p w:rsidR="57070B92" w:rsidP="653F32A3" w:rsidRDefault="57070B92" w14:paraId="641C55FB" w14:textId="63A94FDA">
            <w:pPr>
              <w:pStyle w:val="Normal"/>
            </w:pPr>
            <w:r w:rsidR="57070B92">
              <w:rPr/>
              <w:t>Students learn about university halls, private accommodation, moving away from home (for study or an apprenticeship), researching your options, budgeting, and factors to consider</w:t>
            </w:r>
            <w:r w:rsidR="58D936D7">
              <w:rPr/>
              <w:t>.</w:t>
            </w:r>
          </w:p>
        </w:tc>
        <w:tc>
          <w:tcPr>
            <w:tcW w:w="1530" w:type="dxa"/>
            <w:tcMar/>
          </w:tcPr>
          <w:p w:rsidR="58D936D7" w:rsidP="653F32A3" w:rsidRDefault="58D936D7" w14:paraId="32EF1B6C" w14:textId="0F6726C0">
            <w:pPr>
              <w:pStyle w:val="Normal"/>
            </w:pPr>
            <w:r w:rsidR="58D936D7">
              <w:rPr/>
              <w:t>1, 3</w:t>
            </w:r>
          </w:p>
        </w:tc>
      </w:tr>
      <w:tr w:rsidR="6E7E4CE9" w:rsidTr="653F32A3" w14:paraId="40BBF499" w14:textId="77777777">
        <w:trPr>
          <w:trHeight w:val="300"/>
        </w:trPr>
        <w:tc>
          <w:tcPr>
            <w:tcW w:w="1020" w:type="dxa"/>
            <w:vMerge/>
            <w:tcMar/>
          </w:tcPr>
          <w:p w:rsidR="00481727" w:rsidRDefault="00481727" w14:paraId="2E5C40DA" w14:textId="77777777"/>
        </w:tc>
        <w:tc>
          <w:tcPr>
            <w:tcW w:w="1845" w:type="dxa"/>
            <w:tcMar/>
          </w:tcPr>
          <w:p w:rsidR="5C3D9042" w:rsidP="6E7E4CE9" w:rsidRDefault="5C3D9042" w14:paraId="52821E61" w14:textId="396AAA72">
            <w:r>
              <w:t>Drop-in Sessions</w:t>
            </w:r>
          </w:p>
        </w:tc>
        <w:tc>
          <w:tcPr>
            <w:tcW w:w="3045" w:type="dxa"/>
            <w:tcMar/>
          </w:tcPr>
          <w:p w:rsidR="5C3D9042" w:rsidP="6E7E4CE9" w:rsidRDefault="5C3D9042" w14:paraId="5A08CC9B" w14:textId="0CCA1E8B">
            <w:r>
              <w:t>Personal statement support from local universities</w:t>
            </w:r>
          </w:p>
        </w:tc>
        <w:tc>
          <w:tcPr>
            <w:tcW w:w="6615" w:type="dxa"/>
            <w:tcMar/>
          </w:tcPr>
          <w:p w:rsidR="5C3D9042" w:rsidP="6E7E4CE9" w:rsidRDefault="5C3D9042" w14:paraId="602E5ECA" w14:textId="14D84F9A">
            <w:r>
              <w:t xml:space="preserve">Students attend drop-in sessions with experts from local universities to help improve their personal statements, and gain answers to questions </w:t>
            </w:r>
            <w:r>
              <w:t>they may have about university</w:t>
            </w:r>
            <w:r w:rsidR="6ED570BF">
              <w:t xml:space="preserve">.  Students are more confident in writing their </w:t>
            </w:r>
            <w:proofErr w:type="gramStart"/>
            <w:r w:rsidR="6ED570BF">
              <w:t>PS, and</w:t>
            </w:r>
            <w:proofErr w:type="gramEnd"/>
            <w:r w:rsidR="6ED570BF">
              <w:t xml:space="preserve"> making choices about university.</w:t>
            </w:r>
          </w:p>
        </w:tc>
        <w:tc>
          <w:tcPr>
            <w:tcW w:w="1530" w:type="dxa"/>
            <w:tcMar/>
          </w:tcPr>
          <w:p w:rsidR="16272A70" w:rsidP="6E7E4CE9" w:rsidRDefault="16272A70" w14:paraId="775C37EF" w14:textId="7112A88D">
            <w:r>
              <w:t>1, 3, 7</w:t>
            </w:r>
          </w:p>
        </w:tc>
      </w:tr>
      <w:tr w:rsidR="6E7E4CE9" w:rsidTr="653F32A3" w14:paraId="06F52B31" w14:textId="77777777">
        <w:trPr>
          <w:trHeight w:val="300"/>
        </w:trPr>
        <w:tc>
          <w:tcPr>
            <w:tcW w:w="1020" w:type="dxa"/>
            <w:vMerge/>
            <w:tcMar/>
          </w:tcPr>
          <w:p w:rsidR="00481727" w:rsidRDefault="00481727" w14:paraId="2A1810A8" w14:textId="77777777"/>
        </w:tc>
        <w:tc>
          <w:tcPr>
            <w:tcW w:w="1845" w:type="dxa"/>
            <w:tcMar/>
          </w:tcPr>
          <w:p w:rsidR="6E7E4CE9" w:rsidRDefault="6E7E4CE9" w14:paraId="0DAC5261" w14:textId="39695032">
            <w:r>
              <w:t>Event</w:t>
            </w:r>
          </w:p>
        </w:tc>
        <w:tc>
          <w:tcPr>
            <w:tcW w:w="3045" w:type="dxa"/>
            <w:tcMar/>
          </w:tcPr>
          <w:p w:rsidR="6E7E4CE9" w:rsidRDefault="6E7E4CE9" w14:paraId="757EE2CF" w14:textId="3AA1265A">
            <w:r>
              <w:t>Apprenticeship Evening</w:t>
            </w:r>
          </w:p>
        </w:tc>
        <w:tc>
          <w:tcPr>
            <w:tcW w:w="6615" w:type="dxa"/>
            <w:tcMar/>
          </w:tcPr>
          <w:p w:rsidR="6E7E4CE9" w:rsidRDefault="6E7E4CE9" w14:paraId="340C76D4" w14:textId="168373C0">
            <w:r>
              <w:t xml:space="preserve">Students and parents learn about modern </w:t>
            </w:r>
            <w:proofErr w:type="gramStart"/>
            <w:r>
              <w:t>apprenticeships, and</w:t>
            </w:r>
            <w:proofErr w:type="gramEnd"/>
            <w:r>
              <w:t xml:space="preserve"> hear from a range of employers offering apprenticeship programmes.  Students are inspired and informed by engaging with employers and current apprentices.</w:t>
            </w:r>
          </w:p>
        </w:tc>
        <w:tc>
          <w:tcPr>
            <w:tcW w:w="1530" w:type="dxa"/>
            <w:tcMar/>
          </w:tcPr>
          <w:p w:rsidR="5844D885" w:rsidRDefault="5844D885" w14:paraId="246B6B51" w14:textId="00E875B9">
            <w:r>
              <w:t>1, 2, 5, 7</w:t>
            </w:r>
          </w:p>
        </w:tc>
      </w:tr>
      <w:tr w:rsidR="6E7E4CE9" w:rsidTr="653F32A3" w14:paraId="1D04CCEA" w14:textId="77777777">
        <w:trPr>
          <w:trHeight w:val="300"/>
        </w:trPr>
        <w:tc>
          <w:tcPr>
            <w:tcW w:w="1020" w:type="dxa"/>
            <w:vMerge/>
            <w:tcMar/>
          </w:tcPr>
          <w:p w:rsidR="00481727" w:rsidRDefault="00481727" w14:paraId="480C3BE2" w14:textId="77777777"/>
        </w:tc>
        <w:tc>
          <w:tcPr>
            <w:tcW w:w="1845" w:type="dxa"/>
            <w:tcMar/>
          </w:tcPr>
          <w:p w:rsidR="5E554E33" w:rsidP="6E7E4CE9" w:rsidRDefault="5E554E33" w14:paraId="5E106F0E" w14:textId="0BEF8992">
            <w:r>
              <w:t>Enrichment (Careers)</w:t>
            </w:r>
          </w:p>
        </w:tc>
        <w:tc>
          <w:tcPr>
            <w:tcW w:w="3045" w:type="dxa"/>
            <w:tcMar/>
          </w:tcPr>
          <w:p w:rsidR="5E554E33" w:rsidP="6E7E4CE9" w:rsidRDefault="5E554E33" w14:paraId="5A92E5F4" w14:textId="3CB3FAD3">
            <w:r>
              <w:t>Launch of Apprenticeship Programme, delivered by Employability Coordinator</w:t>
            </w:r>
            <w:r w:rsidR="3003662D">
              <w:t xml:space="preserve"> (both terms)</w:t>
            </w:r>
          </w:p>
        </w:tc>
        <w:tc>
          <w:tcPr>
            <w:tcW w:w="6615" w:type="dxa"/>
            <w:tcMar/>
          </w:tcPr>
          <w:p w:rsidR="5E554E33" w:rsidP="6E7E4CE9" w:rsidRDefault="5E554E33" w14:paraId="586115BA" w14:textId="2AA54364">
            <w:r>
              <w:t xml:space="preserve">Students considering this option engage with this programme </w:t>
            </w:r>
            <w:r w:rsidR="415DC624">
              <w:t>and are supported with the entire process from initial research through to attending interviews and assessment centre</w:t>
            </w:r>
            <w:r w:rsidR="1735627D">
              <w:t>s.  Students engage with visiting employers and access direct insight and advice, improving their</w:t>
            </w:r>
            <w:r w:rsidR="6922625F">
              <w:t xml:space="preserve"> chances of securing an apprenticeship.</w:t>
            </w:r>
          </w:p>
        </w:tc>
        <w:tc>
          <w:tcPr>
            <w:tcW w:w="1530" w:type="dxa"/>
            <w:tcMar/>
          </w:tcPr>
          <w:p w:rsidR="4BF699F4" w:rsidP="6E7E4CE9" w:rsidRDefault="4BF699F4" w14:paraId="47E4678A" w14:textId="03943C2C">
            <w:r>
              <w:t>1, 2, 3, 5, 7</w:t>
            </w:r>
          </w:p>
        </w:tc>
      </w:tr>
      <w:tr w:rsidR="6E7E4CE9" w:rsidTr="653F32A3" w14:paraId="06A142FD" w14:textId="77777777">
        <w:trPr>
          <w:trHeight w:val="300"/>
        </w:trPr>
        <w:tc>
          <w:tcPr>
            <w:tcW w:w="1020" w:type="dxa"/>
            <w:tcMar/>
          </w:tcPr>
          <w:p w:rsidR="37C1D5F2" w:rsidP="6E7E4CE9" w:rsidRDefault="37C1D5F2" w14:paraId="73D724D1" w14:textId="4B0DD48B">
            <w:r>
              <w:t>Spring</w:t>
            </w:r>
          </w:p>
        </w:tc>
        <w:tc>
          <w:tcPr>
            <w:tcW w:w="1845" w:type="dxa"/>
            <w:tcMar/>
          </w:tcPr>
          <w:p w:rsidR="17FF6F9E" w:rsidRDefault="17FF6F9E" w14:paraId="4E2F7E97" w14:textId="2468C7EB">
            <w:r>
              <w:t>Skills &amp; Progression lesson</w:t>
            </w:r>
          </w:p>
        </w:tc>
        <w:tc>
          <w:tcPr>
            <w:tcW w:w="3045" w:type="dxa"/>
            <w:tcMar/>
          </w:tcPr>
          <w:p w:rsidR="17FF6F9E" w:rsidRDefault="17FF6F9E" w14:paraId="3F28A596" w14:textId="5C419B1C">
            <w:r>
              <w:t>UCAS: Responding to offers</w:t>
            </w:r>
            <w:r w:rsidR="061221CD">
              <w:t>, and revisiting Student Finance</w:t>
            </w:r>
          </w:p>
        </w:tc>
        <w:tc>
          <w:tcPr>
            <w:tcW w:w="6615" w:type="dxa"/>
            <w:tcMar/>
          </w:tcPr>
          <w:p w:rsidR="17FF6F9E" w:rsidRDefault="17FF6F9E" w14:paraId="1401B40B" w14:textId="3D113CB8">
            <w:r>
              <w:t>Students understand what the different offer decisions mean, when and how to respond.</w:t>
            </w:r>
            <w:r w:rsidR="1461A440">
              <w:t xml:space="preserve">  Students are ready to apply for Student Finance</w:t>
            </w:r>
            <w:r w:rsidR="395387E7">
              <w:t>.</w:t>
            </w:r>
          </w:p>
        </w:tc>
        <w:tc>
          <w:tcPr>
            <w:tcW w:w="1530" w:type="dxa"/>
            <w:tcMar/>
          </w:tcPr>
          <w:p w:rsidR="357CFE87" w:rsidRDefault="357CFE87" w14:paraId="3602C7DB" w14:textId="784DEE1E">
            <w:r>
              <w:t>1</w:t>
            </w:r>
          </w:p>
        </w:tc>
      </w:tr>
      <w:tr w:rsidR="6E7E4CE9" w:rsidTr="653F32A3" w14:paraId="145D2620" w14:textId="77777777">
        <w:trPr>
          <w:trHeight w:val="300"/>
        </w:trPr>
        <w:tc>
          <w:tcPr>
            <w:tcW w:w="1020" w:type="dxa"/>
            <w:tcMar/>
          </w:tcPr>
          <w:p w:rsidR="6E7E4CE9" w:rsidP="6E7E4CE9" w:rsidRDefault="6E7E4CE9" w14:paraId="2BEE0DB1" w14:textId="41DF06AE"/>
        </w:tc>
        <w:tc>
          <w:tcPr>
            <w:tcW w:w="1845" w:type="dxa"/>
            <w:tcMar/>
          </w:tcPr>
          <w:p w:rsidR="6E7E4CE9" w:rsidRDefault="6E7E4CE9" w14:paraId="0124AA65" w14:textId="4B788F5E">
            <w:r>
              <w:t>Event</w:t>
            </w:r>
          </w:p>
        </w:tc>
        <w:tc>
          <w:tcPr>
            <w:tcW w:w="3045" w:type="dxa"/>
            <w:tcMar/>
          </w:tcPr>
          <w:p w:rsidR="6E7E4CE9" w:rsidRDefault="6E7E4CE9" w14:paraId="567E74F6" w14:textId="623A6867">
            <w:r w:rsidR="292B8FA5">
              <w:rPr/>
              <w:t>Employers’ Careers Fair (</w:t>
            </w:r>
            <w:r w:rsidR="6EBB8928">
              <w:rPr/>
              <w:t>5</w:t>
            </w:r>
            <w:r w:rsidRPr="653F32A3" w:rsidR="6EBB8928">
              <w:rPr>
                <w:vertAlign w:val="superscript"/>
              </w:rPr>
              <w:t>th</w:t>
            </w:r>
            <w:r w:rsidR="6EBB8928">
              <w:rPr/>
              <w:t xml:space="preserve"> </w:t>
            </w:r>
            <w:r w:rsidR="292B8FA5">
              <w:rPr/>
              <w:t>March)</w:t>
            </w:r>
          </w:p>
        </w:tc>
        <w:tc>
          <w:tcPr>
            <w:tcW w:w="6615" w:type="dxa"/>
            <w:tcMar/>
          </w:tcPr>
          <w:p w:rsidR="0DD2007E" w:rsidRDefault="0DD2007E" w14:paraId="4FEDB96F" w14:textId="5F7B962C">
            <w:r>
              <w:t>Year 13 students are invited to attend, and those considering apprenticeships or with questions about graduate schemes are better informed through meaningful conversations wit</w:t>
            </w:r>
            <w:r w:rsidR="680BA601">
              <w:t>h employers.</w:t>
            </w:r>
          </w:p>
        </w:tc>
        <w:tc>
          <w:tcPr>
            <w:tcW w:w="1530" w:type="dxa"/>
            <w:tcMar/>
          </w:tcPr>
          <w:p w:rsidR="21742F4D" w:rsidRDefault="21742F4D" w14:paraId="47BB30FF" w14:textId="00E875B9">
            <w:r>
              <w:t>1, 2, 5, 7</w:t>
            </w:r>
          </w:p>
          <w:p w:rsidR="6E7E4CE9" w:rsidRDefault="6E7E4CE9" w14:paraId="2623C3E3" w14:textId="21AA6521"/>
        </w:tc>
      </w:tr>
      <w:tr w:rsidR="6E7E4CE9" w:rsidTr="653F32A3" w14:paraId="6BFBFAF2" w14:textId="77777777">
        <w:trPr>
          <w:trHeight w:val="300"/>
        </w:trPr>
        <w:tc>
          <w:tcPr>
            <w:tcW w:w="1020" w:type="dxa"/>
            <w:tcMar/>
          </w:tcPr>
          <w:p w:rsidR="6E7E4CE9" w:rsidP="6E7E4CE9" w:rsidRDefault="6E7E4CE9" w14:paraId="01AADEB3" w14:textId="41DF06AE"/>
        </w:tc>
        <w:tc>
          <w:tcPr>
            <w:tcW w:w="1845" w:type="dxa"/>
            <w:tcMar/>
          </w:tcPr>
          <w:p w:rsidR="6E7E4CE9" w:rsidRDefault="6E7E4CE9" w14:paraId="1E2FD838" w14:textId="4B8E6AAB">
            <w:r>
              <w:t>Event</w:t>
            </w:r>
          </w:p>
        </w:tc>
        <w:tc>
          <w:tcPr>
            <w:tcW w:w="3045" w:type="dxa"/>
            <w:tcMar/>
          </w:tcPr>
          <w:p w:rsidR="6E7E4CE9" w:rsidRDefault="6E7E4CE9" w14:paraId="35A2531D" w14:textId="2AF9ABFF">
            <w:r w:rsidR="292B8FA5">
              <w:rPr/>
              <w:t>Further &amp; Higher Education Fair (</w:t>
            </w:r>
            <w:r w:rsidR="1A07426F">
              <w:rPr/>
              <w:t>13</w:t>
            </w:r>
            <w:r w:rsidRPr="653F32A3" w:rsidR="1A07426F">
              <w:rPr>
                <w:vertAlign w:val="superscript"/>
              </w:rPr>
              <w:t>th</w:t>
            </w:r>
            <w:r w:rsidR="1A07426F">
              <w:rPr/>
              <w:t xml:space="preserve"> </w:t>
            </w:r>
            <w:r w:rsidR="292B8FA5">
              <w:rPr/>
              <w:t>March)</w:t>
            </w:r>
          </w:p>
        </w:tc>
        <w:tc>
          <w:tcPr>
            <w:tcW w:w="6615" w:type="dxa"/>
            <w:tcMar/>
          </w:tcPr>
          <w:p w:rsidR="324FED55" w:rsidRDefault="324FED55" w14:paraId="76DBC909" w14:textId="05AE794F">
            <w:r>
              <w:t>Year 13 students who still have questions about FE and HE, or are unde</w:t>
            </w:r>
            <w:r w:rsidR="74C6F562">
              <w:t>cided,</w:t>
            </w:r>
            <w:r>
              <w:t xml:space="preserve"> are encouraged to attend</w:t>
            </w:r>
            <w:r w:rsidR="1EE168C1">
              <w:t xml:space="preserve"> so that they are better informed about this option and can make positive decisions.</w:t>
            </w:r>
          </w:p>
        </w:tc>
        <w:tc>
          <w:tcPr>
            <w:tcW w:w="1530" w:type="dxa"/>
            <w:tcMar/>
          </w:tcPr>
          <w:p w:rsidR="23B2F49E" w:rsidRDefault="23B2F49E" w14:paraId="58D0DEF1" w14:textId="00E875B9">
            <w:r>
              <w:t>1, 2, 5, 7</w:t>
            </w:r>
          </w:p>
          <w:p w:rsidR="6E7E4CE9" w:rsidRDefault="6E7E4CE9" w14:paraId="31393740" w14:textId="1F7817BF"/>
        </w:tc>
      </w:tr>
      <w:tr w:rsidR="6E7E4CE9" w:rsidTr="653F32A3" w14:paraId="156087D6" w14:textId="77777777">
        <w:trPr>
          <w:trHeight w:val="300"/>
        </w:trPr>
        <w:tc>
          <w:tcPr>
            <w:tcW w:w="1020" w:type="dxa"/>
            <w:tcMar/>
          </w:tcPr>
          <w:p w:rsidR="6E7E4CE9" w:rsidP="6E7E4CE9" w:rsidRDefault="6E7E4CE9" w14:paraId="50DCF760" w14:textId="41DF06AE"/>
        </w:tc>
        <w:tc>
          <w:tcPr>
            <w:tcW w:w="1845" w:type="dxa"/>
            <w:tcMar/>
          </w:tcPr>
          <w:p w:rsidR="4D317920" w:rsidRDefault="4D317920" w14:paraId="4811D8D9" w14:textId="59E0632E">
            <w:r>
              <w:t>Skills &amp; Progression lesson</w:t>
            </w:r>
          </w:p>
        </w:tc>
        <w:tc>
          <w:tcPr>
            <w:tcW w:w="3045" w:type="dxa"/>
            <w:tcMar/>
          </w:tcPr>
          <w:p w:rsidR="4D317920" w:rsidP="6E7E4CE9" w:rsidRDefault="4D317920" w14:paraId="5F88778E" w14:textId="1280EB1D">
            <w:r>
              <w:t>Results day and beyond</w:t>
            </w:r>
          </w:p>
        </w:tc>
        <w:tc>
          <w:tcPr>
            <w:tcW w:w="6615" w:type="dxa"/>
            <w:tcMar/>
          </w:tcPr>
          <w:p w:rsidR="4D317920" w:rsidP="6E7E4CE9" w:rsidRDefault="4D317920" w14:paraId="6EB782F2" w14:textId="4B99EECF">
            <w:r>
              <w:t>Students understand our process for Results Day, and the support that is available in college from a wide range of staf</w:t>
            </w:r>
            <w:r w:rsidR="5F11DCCC">
              <w:t xml:space="preserve">f, including 1:1s with a Careers Adviser.  </w:t>
            </w:r>
            <w:r w:rsidR="1D915C7F">
              <w:t>Students are keen to connect with the college as Alumni.</w:t>
            </w:r>
          </w:p>
        </w:tc>
        <w:tc>
          <w:tcPr>
            <w:tcW w:w="1530" w:type="dxa"/>
            <w:tcMar/>
          </w:tcPr>
          <w:p w:rsidR="7EDE766E" w:rsidP="6E7E4CE9" w:rsidRDefault="7EDE766E" w14:paraId="72F19187" w14:textId="58701D2D">
            <w:r>
              <w:t>1</w:t>
            </w:r>
          </w:p>
        </w:tc>
      </w:tr>
      <w:tr w:rsidR="6E7E4CE9" w:rsidTr="653F32A3" w14:paraId="16F1BAD1" w14:textId="77777777">
        <w:trPr>
          <w:trHeight w:val="300"/>
        </w:trPr>
        <w:tc>
          <w:tcPr>
            <w:tcW w:w="1020" w:type="dxa"/>
            <w:tcMar/>
          </w:tcPr>
          <w:p w:rsidR="6E7E4CE9" w:rsidP="6E7E4CE9" w:rsidRDefault="6E7E4CE9" w14:paraId="3F8B5A44" w14:textId="41DF06AE"/>
        </w:tc>
        <w:tc>
          <w:tcPr>
            <w:tcW w:w="1845" w:type="dxa"/>
            <w:tcMar/>
          </w:tcPr>
          <w:p w:rsidR="1D915C7F" w:rsidP="6E7E4CE9" w:rsidRDefault="1D915C7F" w14:paraId="05EE10AB" w14:textId="15530463">
            <w:r>
              <w:t>Event</w:t>
            </w:r>
          </w:p>
        </w:tc>
        <w:tc>
          <w:tcPr>
            <w:tcW w:w="3045" w:type="dxa"/>
            <w:tcMar/>
          </w:tcPr>
          <w:p w:rsidR="1D915C7F" w:rsidP="6E7E4CE9" w:rsidRDefault="1D915C7F" w14:paraId="21B8A538" w14:textId="4871F26C">
            <w:r>
              <w:t>Results Day (14</w:t>
            </w:r>
            <w:r w:rsidRPr="6E7E4CE9">
              <w:rPr>
                <w:vertAlign w:val="superscript"/>
              </w:rPr>
              <w:t>th</w:t>
            </w:r>
            <w:r>
              <w:t xml:space="preserve"> August)</w:t>
            </w:r>
          </w:p>
        </w:tc>
        <w:tc>
          <w:tcPr>
            <w:tcW w:w="6615" w:type="dxa"/>
            <w:tcMar/>
          </w:tcPr>
          <w:p w:rsidR="1D915C7F" w:rsidP="6E7E4CE9" w:rsidRDefault="1D915C7F" w14:paraId="35CF8B23" w14:textId="5BF9B80A">
            <w:pPr>
              <w:spacing w:line="259" w:lineRule="auto"/>
            </w:pPr>
            <w:r w:rsidR="35CF3935">
              <w:rPr/>
              <w:t>Students who are entered into Clearing are well supported and make positive</w:t>
            </w:r>
            <w:r w:rsidR="6D0CEB8E">
              <w:rPr/>
              <w:t>, informed</w:t>
            </w:r>
            <w:r w:rsidR="35CF3935">
              <w:rPr/>
              <w:t xml:space="preserve"> choices</w:t>
            </w:r>
            <w:r w:rsidR="35CF3935">
              <w:rPr/>
              <w:t>.</w:t>
            </w:r>
            <w:r w:rsidR="70BDA02A">
              <w:rPr/>
              <w:t xml:space="preserve">  </w:t>
            </w:r>
            <w:r w:rsidR="70BDA02A">
              <w:rPr/>
              <w:t>All are offered 1:1 guidance with a Careers Adviser</w:t>
            </w:r>
            <w:r w:rsidR="70BDA02A">
              <w:rPr/>
              <w:t>.</w:t>
            </w:r>
            <w:r w:rsidR="25EAC5B7">
              <w:rPr/>
              <w:t xml:space="preserve">  </w:t>
            </w:r>
            <w:r w:rsidR="25EAC5B7">
              <w:rPr/>
              <w:t xml:space="preserve">A representative from Coventry University (part of the </w:t>
            </w:r>
            <w:r w:rsidR="25EAC5B7">
              <w:rPr/>
              <w:t>BFMat</w:t>
            </w:r>
            <w:r w:rsidR="25EAC5B7">
              <w:rPr/>
              <w:t>) will also provide support and direct access to clearing decisions for their university.</w:t>
            </w:r>
            <w:r w:rsidR="4A96CD04">
              <w:rPr/>
              <w:t xml:space="preserve"> Other local universities will also be invited.</w:t>
            </w:r>
          </w:p>
        </w:tc>
        <w:tc>
          <w:tcPr>
            <w:tcW w:w="1530" w:type="dxa"/>
            <w:tcMar/>
          </w:tcPr>
          <w:p w:rsidR="5C01FCD7" w:rsidP="6E7E4CE9" w:rsidRDefault="5C01FCD7" w14:paraId="418FA3AC" w14:textId="3C10411B">
            <w:r>
              <w:t>1, 7, 8</w:t>
            </w:r>
          </w:p>
        </w:tc>
      </w:tr>
    </w:tbl>
    <w:p w:rsidR="6E7E4CE9" w:rsidRDefault="6E7E4CE9" w14:paraId="5081FF98" w14:textId="6AAD648C"/>
    <w:p w:rsidR="3143225D" w:rsidP="6E7E4CE9" w:rsidRDefault="3143225D" w14:paraId="30AC0579" w14:textId="0347158E">
      <w:pPr>
        <w:pStyle w:val="Heading1"/>
      </w:pPr>
      <w:r>
        <w:t>Impact</w:t>
      </w:r>
    </w:p>
    <w:p w:rsidR="6E7E4CE9" w:rsidRDefault="6E7E4CE9" w14:paraId="16625C7F" w14:textId="453C0F7E"/>
    <w:p w:rsidR="03CD3F00" w:rsidP="6E7E4CE9" w:rsidRDefault="03CD3F00" w14:paraId="206858C6" w14:textId="044365C9">
      <w:pPr>
        <w:rPr>
          <w:rFonts w:ascii="Calibri" w:hAnsi="Calibri" w:eastAsia="Calibri" w:cs="Calibri"/>
        </w:rPr>
      </w:pPr>
      <w:r>
        <w:t>Measuring the impact of our Careers Programme on an ongoing basis enables us to ensure that intended outcomes are being achieved</w:t>
      </w:r>
      <w:r w:rsidR="0D947C9A">
        <w:t>, and that we are making a positive and empowering difference to our students.</w:t>
      </w:r>
      <w:r w:rsidR="6F9549CF">
        <w:t xml:space="preserve">  We value qualitative and quantit</w:t>
      </w:r>
      <w:r w:rsidR="1BBB7334">
        <w:t>ative</w:t>
      </w:r>
      <w:r w:rsidR="6F9549CF">
        <w:t xml:space="preserve"> feedback</w:t>
      </w:r>
      <w:r w:rsidR="1401E904">
        <w:t xml:space="preserve"> from all our stakeholders</w:t>
      </w:r>
      <w:r w:rsidR="057DA861">
        <w:t>, which we</w:t>
      </w:r>
      <w:r w:rsidR="4B6F55ED">
        <w:t xml:space="preserve"> actively collect and</w:t>
      </w:r>
      <w:r w:rsidR="1401E904">
        <w:t xml:space="preserve"> evaluate </w:t>
      </w:r>
      <w:r w:rsidR="194C56F6">
        <w:t>to</w:t>
      </w:r>
      <w:r w:rsidRPr="6E7E4CE9" w:rsidR="12E7692B">
        <w:rPr>
          <w:rFonts w:ascii="Calibri" w:hAnsi="Calibri" w:eastAsia="Calibri" w:cs="Calibri"/>
        </w:rPr>
        <w:t xml:space="preserve"> ensure our intent and implementation is in-line with our expectations. </w:t>
      </w:r>
      <w:r w:rsidRPr="6E7E4CE9" w:rsidR="48098A68">
        <w:rPr>
          <w:rFonts w:ascii="Calibri" w:hAnsi="Calibri" w:eastAsia="Calibri" w:cs="Calibri"/>
        </w:rPr>
        <w:t xml:space="preserve">We reflect on our findings and seek to continually improve our Careers Programme.  </w:t>
      </w:r>
      <w:r w:rsidRPr="6E7E4CE9" w:rsidR="12E7692B">
        <w:rPr>
          <w:rFonts w:ascii="Calibri" w:hAnsi="Calibri" w:eastAsia="Calibri" w:cs="Calibri"/>
        </w:rPr>
        <w:t xml:space="preserve">We measure impact in the following ways: </w:t>
      </w:r>
    </w:p>
    <w:p w:rsidR="205E2A58" w:rsidP="6E7E4CE9" w:rsidRDefault="205E2A58" w14:paraId="109A2113" w14:textId="4BDA2DF5">
      <w:pPr>
        <w:pStyle w:val="ListParagraph"/>
        <w:numPr>
          <w:ilvl w:val="0"/>
          <w:numId w:val="2"/>
        </w:numPr>
        <w:rPr>
          <w:rFonts w:ascii="Calibri" w:hAnsi="Calibri" w:eastAsia="Calibri" w:cs="Calibri"/>
        </w:rPr>
      </w:pPr>
      <w:r w:rsidRPr="6E7E4CE9">
        <w:rPr>
          <w:rFonts w:ascii="Calibri" w:hAnsi="Calibri" w:eastAsia="Calibri" w:cs="Calibri"/>
        </w:rPr>
        <w:t>Feedback from all stakeholders (students, staff, employers, education providers) is collected and evaluated after all Careers events</w:t>
      </w:r>
      <w:r w:rsidRPr="6E7E4CE9" w:rsidR="0280E447">
        <w:rPr>
          <w:rFonts w:ascii="Calibri" w:hAnsi="Calibri" w:eastAsia="Calibri" w:cs="Calibri"/>
        </w:rPr>
        <w:t>, with a focus on the positive attitudes of students to career planning, and the development of key skills and attributes</w:t>
      </w:r>
    </w:p>
    <w:p w:rsidR="15E78668" w:rsidP="6E7E4CE9" w:rsidRDefault="15E78668" w14:paraId="221D79AE" w14:textId="031F83DA">
      <w:pPr>
        <w:pStyle w:val="ListParagraph"/>
        <w:numPr>
          <w:ilvl w:val="0"/>
          <w:numId w:val="2"/>
        </w:numPr>
        <w:rPr>
          <w:rFonts w:ascii="Calibri" w:hAnsi="Calibri" w:eastAsia="Calibri" w:cs="Calibri"/>
        </w:rPr>
      </w:pPr>
      <w:r w:rsidRPr="653F32A3" w:rsidR="0140FF9C">
        <w:rPr>
          <w:rFonts w:ascii="Calibri" w:hAnsi="Calibri" w:eastAsia="Calibri" w:cs="Calibri"/>
        </w:rPr>
        <w:t>Destinations are tracked</w:t>
      </w:r>
      <w:r w:rsidRPr="653F32A3" w:rsidR="742C6E79">
        <w:rPr>
          <w:rFonts w:ascii="Calibri" w:hAnsi="Calibri" w:eastAsia="Calibri" w:cs="Calibri"/>
        </w:rPr>
        <w:t xml:space="preserve"> </w:t>
      </w:r>
      <w:r w:rsidRPr="653F32A3" w:rsidR="6A27BFAB">
        <w:rPr>
          <w:rFonts w:ascii="Calibri" w:hAnsi="Calibri" w:eastAsia="Calibri" w:cs="Calibri"/>
        </w:rPr>
        <w:t>(both intended and actual)</w:t>
      </w:r>
    </w:p>
    <w:p w:rsidR="2CFEB7E1" w:rsidP="6E7E4CE9" w:rsidRDefault="2CFEB7E1" w14:paraId="43259209" w14:textId="039ED4EF">
      <w:pPr>
        <w:pStyle w:val="ListParagraph"/>
        <w:numPr>
          <w:ilvl w:val="0"/>
          <w:numId w:val="2"/>
        </w:numPr>
        <w:rPr>
          <w:rFonts w:ascii="Calibri" w:hAnsi="Calibri" w:eastAsia="Calibri" w:cs="Calibri"/>
        </w:rPr>
      </w:pPr>
      <w:r w:rsidRPr="6E7E4CE9">
        <w:rPr>
          <w:rFonts w:ascii="Calibri" w:hAnsi="Calibri" w:eastAsia="Calibri" w:cs="Calibri"/>
        </w:rPr>
        <w:t>Compass evaluations are completed termly, to show our progress against the Gatsby Benchmarks</w:t>
      </w:r>
    </w:p>
    <w:p w:rsidR="6E7E4CE9" w:rsidP="6E7E4CE9" w:rsidRDefault="6E7E4CE9" w14:paraId="76F4370F" w14:textId="4A2EAB95">
      <w:pPr>
        <w:rPr>
          <w:rFonts w:ascii="Calibri" w:hAnsi="Calibri" w:eastAsia="Calibri" w:cs="Calibri"/>
        </w:rPr>
      </w:pPr>
    </w:p>
    <w:p w:rsidR="3C53E77F" w:rsidP="653F32A3" w:rsidRDefault="3C53E77F" w14:paraId="1BAC1F81" w14:textId="54AB5BB3">
      <w:pPr>
        <w:spacing w:before="0" w:beforeAutospacing="off" w:after="0" w:afterAutospacing="off"/>
      </w:pPr>
      <w:r w:rsidR="79ED9827">
        <w:drawing>
          <wp:inline wp14:editId="724A3841" wp14:anchorId="0110F09B">
            <wp:extent cx="4591050" cy="2762250"/>
            <wp:effectExtent l="0" t="0" r="0" b="0"/>
            <wp:docPr id="25704766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57047666" name=""/>
                    <pic:cNvPicPr/>
                  </pic:nvPicPr>
                  <pic:blipFill>
                    <a:blip xmlns:r="http://schemas.openxmlformats.org/officeDocument/2006/relationships" r:embed="rId175777100">
                      <a:extLst>
                        <a:ext xmlns:a="http://schemas.openxmlformats.org/drawingml/2006/main" uri="{28A0092B-C50C-407E-A947-70E740481C1C}">
                          <a14:useLocalDpi xmlns:a14="http://schemas.microsoft.com/office/drawing/2010/main" val="0"/>
                        </a:ext>
                      </a:extLst>
                    </a:blip>
                    <a:stretch>
                      <a:fillRect/>
                    </a:stretch>
                  </pic:blipFill>
                  <pic:spPr>
                    <a:xfrm>
                      <a:off x="0" y="0"/>
                      <a:ext cx="4591050" cy="2762250"/>
                    </a:xfrm>
                    <a:prstGeom prst="rect">
                      <a:avLst/>
                    </a:prstGeom>
                  </pic:spPr>
                </pic:pic>
              </a:graphicData>
            </a:graphic>
          </wp:inline>
        </w:drawing>
      </w:r>
    </w:p>
    <w:p w:rsidR="3C53E77F" w:rsidP="6E7E4CE9" w:rsidRDefault="3C53E77F" w14:paraId="5459C297" w14:textId="7AA20856"/>
    <w:p w:rsidR="3C53E77F" w:rsidP="653F32A3" w:rsidRDefault="3C53E77F" w14:paraId="2E41F746" w14:textId="2383DA30">
      <w:pPr>
        <w:rPr>
          <w:b w:val="1"/>
          <w:bCs w:val="1"/>
          <w:i w:val="1"/>
          <w:iCs w:val="1"/>
        </w:rPr>
      </w:pPr>
      <w:r w:rsidRPr="653F32A3" w:rsidR="6DE64FD7">
        <w:rPr>
          <w:b w:val="1"/>
          <w:bCs w:val="1"/>
          <w:i w:val="1"/>
          <w:iCs w:val="1"/>
        </w:rPr>
        <w:t>Compass Evaluation 202</w:t>
      </w:r>
      <w:r w:rsidRPr="653F32A3" w:rsidR="2C34D91A">
        <w:rPr>
          <w:b w:val="1"/>
          <w:bCs w:val="1"/>
          <w:i w:val="1"/>
          <w:iCs w:val="1"/>
        </w:rPr>
        <w:t>5</w:t>
      </w:r>
      <w:r w:rsidRPr="653F32A3" w:rsidR="1F7E64D2">
        <w:rPr>
          <w:b w:val="1"/>
          <w:bCs w:val="1"/>
          <w:i w:val="1"/>
          <w:iCs w:val="1"/>
        </w:rPr>
        <w:t xml:space="preserve"> – See Appendix 1 for full details of how achievement of each benchmark is measured</w:t>
      </w:r>
    </w:p>
    <w:tbl>
      <w:tblPr>
        <w:tblStyle w:val="TableGrid"/>
        <w:tblW w:w="0" w:type="auto"/>
        <w:tblLayout w:type="fixed"/>
        <w:tblLook w:val="06A0" w:firstRow="1" w:lastRow="0" w:firstColumn="1" w:lastColumn="0" w:noHBand="1" w:noVBand="1"/>
      </w:tblPr>
      <w:tblGrid>
        <w:gridCol w:w="840"/>
        <w:gridCol w:w="6420"/>
        <w:gridCol w:w="2040"/>
      </w:tblGrid>
      <w:tr w:rsidR="6E7E4CE9" w:rsidTr="0448D631" w14:paraId="1AB8A2F1" w14:textId="77777777">
        <w:trPr>
          <w:trHeight w:val="300"/>
        </w:trPr>
        <w:tc>
          <w:tcPr>
            <w:tcW w:w="840" w:type="dxa"/>
          </w:tcPr>
          <w:p w:rsidR="1C79FFCB" w:rsidP="6E7E4CE9" w:rsidRDefault="1C79FFCB" w14:paraId="46AB4AC8" w14:textId="6160F49B">
            <w:r>
              <w:t>1</w:t>
            </w:r>
          </w:p>
        </w:tc>
        <w:tc>
          <w:tcPr>
            <w:tcW w:w="6420" w:type="dxa"/>
          </w:tcPr>
          <w:p w:rsidR="2901F395" w:rsidP="6E7E4CE9" w:rsidRDefault="2901F395" w14:paraId="2D7E66EC" w14:textId="09566F9B">
            <w:r>
              <w:t>A stable careers programme</w:t>
            </w:r>
          </w:p>
        </w:tc>
        <w:tc>
          <w:tcPr>
            <w:tcW w:w="2040" w:type="dxa"/>
          </w:tcPr>
          <w:p w:rsidR="5FA04017" w:rsidP="6E7E4CE9" w:rsidRDefault="5FA04017" w14:paraId="3607A695" w14:textId="589D964E">
            <w:r>
              <w:t>Fully met</w:t>
            </w:r>
          </w:p>
        </w:tc>
      </w:tr>
      <w:tr w:rsidR="6E7E4CE9" w:rsidTr="0448D631" w14:paraId="452A3BB9" w14:textId="77777777">
        <w:trPr>
          <w:trHeight w:val="315"/>
        </w:trPr>
        <w:tc>
          <w:tcPr>
            <w:tcW w:w="840" w:type="dxa"/>
          </w:tcPr>
          <w:p w:rsidR="1C79FFCB" w:rsidP="6E7E4CE9" w:rsidRDefault="1C79FFCB" w14:paraId="5D0C3AD5" w14:textId="738B6737">
            <w:r>
              <w:t>2</w:t>
            </w:r>
          </w:p>
        </w:tc>
        <w:tc>
          <w:tcPr>
            <w:tcW w:w="6420" w:type="dxa"/>
          </w:tcPr>
          <w:p w:rsidR="5D76871A" w:rsidP="6E7E4CE9" w:rsidRDefault="5D76871A" w14:paraId="257BEC9D" w14:textId="01D92CAA">
            <w:r>
              <w:t>Learning from career and labour market information</w:t>
            </w:r>
          </w:p>
        </w:tc>
        <w:tc>
          <w:tcPr>
            <w:tcW w:w="2040" w:type="dxa"/>
          </w:tcPr>
          <w:p w:rsidR="7A8B2C17" w:rsidP="6E7E4CE9" w:rsidRDefault="7A8B2C17" w14:paraId="56BB715D" w14:textId="0F0D64D1">
            <w:r>
              <w:t>Fully met</w:t>
            </w:r>
          </w:p>
        </w:tc>
      </w:tr>
      <w:tr w:rsidR="6E7E4CE9" w:rsidTr="0448D631" w14:paraId="63897D78" w14:textId="77777777">
        <w:trPr>
          <w:trHeight w:val="300"/>
        </w:trPr>
        <w:tc>
          <w:tcPr>
            <w:tcW w:w="840" w:type="dxa"/>
          </w:tcPr>
          <w:p w:rsidR="1C79FFCB" w:rsidP="6E7E4CE9" w:rsidRDefault="1C79FFCB" w14:paraId="58611957" w14:textId="356C3C6C">
            <w:r>
              <w:t>3</w:t>
            </w:r>
          </w:p>
        </w:tc>
        <w:tc>
          <w:tcPr>
            <w:tcW w:w="6420" w:type="dxa"/>
          </w:tcPr>
          <w:p w:rsidR="43555BE7" w:rsidP="6E7E4CE9" w:rsidRDefault="43555BE7" w14:paraId="3F6D3663" w14:textId="1DF2A2F3">
            <w:r>
              <w:t>Addressing the needs of each pupil</w:t>
            </w:r>
          </w:p>
        </w:tc>
        <w:tc>
          <w:tcPr>
            <w:tcW w:w="2040" w:type="dxa"/>
          </w:tcPr>
          <w:p w:rsidR="2499108F" w:rsidP="6E7E4CE9" w:rsidRDefault="2499108F" w14:paraId="5873717F" w14:textId="43DE0BD0">
            <w:r>
              <w:t>Fully met</w:t>
            </w:r>
          </w:p>
        </w:tc>
      </w:tr>
      <w:tr w:rsidR="6E7E4CE9" w:rsidTr="0448D631" w14:paraId="0C6F9056" w14:textId="77777777">
        <w:trPr>
          <w:trHeight w:val="300"/>
        </w:trPr>
        <w:tc>
          <w:tcPr>
            <w:tcW w:w="840" w:type="dxa"/>
          </w:tcPr>
          <w:p w:rsidR="1C79FFCB" w:rsidP="6E7E4CE9" w:rsidRDefault="1C79FFCB" w14:paraId="4CBA8F57" w14:textId="74A321DD">
            <w:r>
              <w:t>4</w:t>
            </w:r>
          </w:p>
        </w:tc>
        <w:tc>
          <w:tcPr>
            <w:tcW w:w="6420" w:type="dxa"/>
          </w:tcPr>
          <w:p w:rsidR="59961DA8" w:rsidP="6E7E4CE9" w:rsidRDefault="59961DA8" w14:paraId="0A84243D" w14:textId="02B87977">
            <w:r>
              <w:t>Linking curriculum learning to careers</w:t>
            </w:r>
          </w:p>
        </w:tc>
        <w:tc>
          <w:tcPr>
            <w:tcW w:w="2040" w:type="dxa"/>
          </w:tcPr>
          <w:p w:rsidR="38A494F6" w:rsidP="6E7E4CE9" w:rsidRDefault="38A494F6" w14:paraId="2083BACE" w14:textId="4798126D">
            <w:r>
              <w:t>Fully met</w:t>
            </w:r>
          </w:p>
        </w:tc>
      </w:tr>
      <w:tr w:rsidR="6E7E4CE9" w:rsidTr="0448D631" w14:paraId="250FB196" w14:textId="77777777">
        <w:trPr>
          <w:trHeight w:val="300"/>
        </w:trPr>
        <w:tc>
          <w:tcPr>
            <w:tcW w:w="840" w:type="dxa"/>
          </w:tcPr>
          <w:p w:rsidR="1C79FFCB" w:rsidP="6E7E4CE9" w:rsidRDefault="1C79FFCB" w14:paraId="579200FB" w14:textId="4EE3E2A4">
            <w:r>
              <w:t>5</w:t>
            </w:r>
          </w:p>
        </w:tc>
        <w:tc>
          <w:tcPr>
            <w:tcW w:w="6420" w:type="dxa"/>
          </w:tcPr>
          <w:p w:rsidR="10878367" w:rsidP="6E7E4CE9" w:rsidRDefault="10878367" w14:paraId="1E8C12D3" w14:textId="46544F6E">
            <w:r>
              <w:t>Encounters with employers and employees</w:t>
            </w:r>
          </w:p>
        </w:tc>
        <w:tc>
          <w:tcPr>
            <w:tcW w:w="2040" w:type="dxa"/>
          </w:tcPr>
          <w:p w:rsidR="2E264601" w:rsidP="6E7E4CE9" w:rsidRDefault="2E264601" w14:paraId="1DC5C4AA" w14:textId="145488EB">
            <w:r>
              <w:t>Fully met</w:t>
            </w:r>
          </w:p>
        </w:tc>
      </w:tr>
      <w:tr w:rsidR="6E7E4CE9" w:rsidTr="0448D631" w14:paraId="6401539A" w14:textId="77777777">
        <w:trPr>
          <w:trHeight w:val="300"/>
        </w:trPr>
        <w:tc>
          <w:tcPr>
            <w:tcW w:w="840" w:type="dxa"/>
          </w:tcPr>
          <w:p w:rsidR="1C79FFCB" w:rsidP="6E7E4CE9" w:rsidRDefault="1C79FFCB" w14:paraId="3F3AB879" w14:textId="51B6B086">
            <w:r>
              <w:t>6</w:t>
            </w:r>
          </w:p>
        </w:tc>
        <w:tc>
          <w:tcPr>
            <w:tcW w:w="6420" w:type="dxa"/>
          </w:tcPr>
          <w:p w:rsidR="2A04E36D" w:rsidP="6E7E4CE9" w:rsidRDefault="2A04E36D" w14:paraId="04BA8F4D" w14:textId="11B7A78B">
            <w:r>
              <w:t>Experiences of workplaces</w:t>
            </w:r>
          </w:p>
        </w:tc>
        <w:tc>
          <w:tcPr>
            <w:tcW w:w="2040" w:type="dxa"/>
          </w:tcPr>
          <w:p w:rsidR="46ACBDFF" w:rsidP="6E7E4CE9" w:rsidRDefault="46ACBDFF" w14:paraId="39128B05" w14:textId="08C6878C">
            <w:r>
              <w:t>In progress</w:t>
            </w:r>
          </w:p>
        </w:tc>
      </w:tr>
      <w:tr w:rsidR="6E7E4CE9" w:rsidTr="0448D631" w14:paraId="4BD7C116" w14:textId="77777777">
        <w:trPr>
          <w:trHeight w:val="300"/>
        </w:trPr>
        <w:tc>
          <w:tcPr>
            <w:tcW w:w="840" w:type="dxa"/>
          </w:tcPr>
          <w:p w:rsidR="1C79FFCB" w:rsidP="6E7E4CE9" w:rsidRDefault="1C79FFCB" w14:paraId="360CCC17" w14:textId="1DF32C14">
            <w:r>
              <w:t>7</w:t>
            </w:r>
          </w:p>
        </w:tc>
        <w:tc>
          <w:tcPr>
            <w:tcW w:w="6420" w:type="dxa"/>
          </w:tcPr>
          <w:p w:rsidR="77755272" w:rsidP="6E7E4CE9" w:rsidRDefault="77755272" w14:paraId="25910A55" w14:textId="1F70D07D">
            <w:pPr>
              <w:spacing w:line="259" w:lineRule="auto"/>
            </w:pPr>
            <w:r>
              <w:t>Encounters with FE and HE (including vocational training providers)</w:t>
            </w:r>
          </w:p>
        </w:tc>
        <w:tc>
          <w:tcPr>
            <w:tcW w:w="2040" w:type="dxa"/>
          </w:tcPr>
          <w:p w:rsidR="568E5DAF" w:rsidP="6E7E4CE9" w:rsidRDefault="568E5DAF" w14:paraId="6E0E93FB" w14:textId="760EF9A6">
            <w:r>
              <w:t>In progress</w:t>
            </w:r>
          </w:p>
        </w:tc>
      </w:tr>
      <w:tr w:rsidR="6E7E4CE9" w:rsidTr="0448D631" w14:paraId="6E97A582" w14:textId="77777777">
        <w:trPr>
          <w:trHeight w:val="300"/>
        </w:trPr>
        <w:tc>
          <w:tcPr>
            <w:tcW w:w="840" w:type="dxa"/>
          </w:tcPr>
          <w:p w:rsidR="1C79FFCB" w:rsidP="6E7E4CE9" w:rsidRDefault="1C79FFCB" w14:paraId="58380627" w14:textId="5EBF4CEC">
            <w:r>
              <w:t>8</w:t>
            </w:r>
          </w:p>
        </w:tc>
        <w:tc>
          <w:tcPr>
            <w:tcW w:w="6420" w:type="dxa"/>
          </w:tcPr>
          <w:p w:rsidR="44A281C7" w:rsidP="6E7E4CE9" w:rsidRDefault="44A281C7" w14:paraId="092AFC7F" w14:textId="25049655">
            <w:r>
              <w:t>Personal guidance</w:t>
            </w:r>
          </w:p>
        </w:tc>
        <w:tc>
          <w:tcPr>
            <w:tcW w:w="2040" w:type="dxa"/>
          </w:tcPr>
          <w:p w:rsidR="585BF07A" w:rsidP="6E7E4CE9" w:rsidRDefault="585BF07A" w14:paraId="4C4AD13B" w14:textId="43A4A2AA">
            <w:r>
              <w:t>In progress</w:t>
            </w:r>
          </w:p>
        </w:tc>
      </w:tr>
    </w:tbl>
    <w:p w:rsidR="40F72572" w:rsidP="653F32A3" w:rsidRDefault="40F72572" w14:paraId="6C1B19A1" w14:textId="36B0AE10">
      <w:pPr>
        <w:pStyle w:val="Heading1"/>
      </w:pPr>
      <w:r w:rsidRPr="653F32A3" w:rsidR="40F72572">
        <w:rPr>
          <w:rFonts w:ascii="Aptos Display" w:hAnsi="Aptos Display" w:eastAsia="Aptos Display" w:cs="Aptos Display"/>
          <w:color w:val="0F4761"/>
          <w:sz w:val="40"/>
          <w:szCs w:val="40"/>
        </w:rPr>
        <w:t>Appendix 1: Gatsby Benchmarks</w:t>
      </w:r>
      <w:r w:rsidR="1E95DA24">
        <w:drawing>
          <wp:inline wp14:editId="6DB37387" wp14:anchorId="384C0B2D">
            <wp:extent cx="6629400" cy="5057775"/>
            <wp:effectExtent l="0" t="0" r="0" b="0"/>
            <wp:docPr id="204214036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42140366" name=""/>
                    <pic:cNvPicPr/>
                  </pic:nvPicPr>
                  <pic:blipFill>
                    <a:blip xmlns:r="http://schemas.openxmlformats.org/officeDocument/2006/relationships" r:embed="rId777474971">
                      <a:extLst>
                        <a:ext xmlns:a="http://schemas.openxmlformats.org/drawingml/2006/main" uri="{28A0092B-C50C-407E-A947-70E740481C1C}">
                          <a14:useLocalDpi xmlns:a14="http://schemas.microsoft.com/office/drawing/2010/main" val="0"/>
                        </a:ext>
                      </a:extLst>
                    </a:blip>
                    <a:stretch>
                      <a:fillRect/>
                    </a:stretch>
                  </pic:blipFill>
                  <pic:spPr>
                    <a:xfrm>
                      <a:off x="0" y="0"/>
                      <a:ext cx="6629400" cy="5057775"/>
                    </a:xfrm>
                    <a:prstGeom prst="rect">
                      <a:avLst/>
                    </a:prstGeom>
                  </pic:spPr>
                </pic:pic>
              </a:graphicData>
            </a:graphic>
          </wp:inline>
        </w:drawing>
      </w:r>
      <w:r w:rsidR="1E95DA24">
        <w:drawing>
          <wp:inline wp14:editId="695A28CA" wp14:anchorId="6FB0983F">
            <wp:extent cx="6553200" cy="2171700"/>
            <wp:effectExtent l="0" t="0" r="0" b="0"/>
            <wp:docPr id="11523483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5234830" name=""/>
                    <pic:cNvPicPr/>
                  </pic:nvPicPr>
                  <pic:blipFill>
                    <a:blip xmlns:r="http://schemas.openxmlformats.org/officeDocument/2006/relationships" r:embed="rId402232618">
                      <a:extLst>
                        <a:ext xmlns:a="http://schemas.openxmlformats.org/drawingml/2006/main" uri="{28A0092B-C50C-407E-A947-70E740481C1C}">
                          <a14:useLocalDpi xmlns:a14="http://schemas.microsoft.com/office/drawing/2010/main" val="0"/>
                        </a:ext>
                      </a:extLst>
                    </a:blip>
                    <a:stretch>
                      <a:fillRect/>
                    </a:stretch>
                  </pic:blipFill>
                  <pic:spPr>
                    <a:xfrm>
                      <a:off x="0" y="0"/>
                      <a:ext cx="6553200" cy="2171700"/>
                    </a:xfrm>
                    <a:prstGeom prst="rect">
                      <a:avLst/>
                    </a:prstGeom>
                  </pic:spPr>
                </pic:pic>
              </a:graphicData>
            </a:graphic>
          </wp:inline>
        </w:drawing>
      </w:r>
      <w:r w:rsidR="1E95DA24">
        <w:drawing>
          <wp:inline wp14:editId="0D66313A" wp14:anchorId="3D442295">
            <wp:extent cx="6562725" cy="5457825"/>
            <wp:effectExtent l="0" t="0" r="0" b="0"/>
            <wp:docPr id="212393856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23938566" name=""/>
                    <pic:cNvPicPr/>
                  </pic:nvPicPr>
                  <pic:blipFill>
                    <a:blip xmlns:r="http://schemas.openxmlformats.org/officeDocument/2006/relationships" r:embed="rId297905091">
                      <a:extLst>
                        <a:ext xmlns:a="http://schemas.openxmlformats.org/drawingml/2006/main" uri="{28A0092B-C50C-407E-A947-70E740481C1C}">
                          <a14:useLocalDpi xmlns:a14="http://schemas.microsoft.com/office/drawing/2010/main" val="0"/>
                        </a:ext>
                      </a:extLst>
                    </a:blip>
                    <a:stretch>
                      <a:fillRect/>
                    </a:stretch>
                  </pic:blipFill>
                  <pic:spPr>
                    <a:xfrm>
                      <a:off x="0" y="0"/>
                      <a:ext cx="6562725" cy="5457825"/>
                    </a:xfrm>
                    <a:prstGeom prst="rect">
                      <a:avLst/>
                    </a:prstGeom>
                  </pic:spPr>
                </pic:pic>
              </a:graphicData>
            </a:graphic>
          </wp:inline>
        </w:drawing>
      </w:r>
      <w:r w:rsidR="6F6C8557">
        <w:drawing>
          <wp:inline wp14:editId="3BB426C4" wp14:anchorId="76AC5584">
            <wp:extent cx="6467475" cy="2181225"/>
            <wp:effectExtent l="0" t="0" r="0" b="0"/>
            <wp:docPr id="123312957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33129572" name=""/>
                    <pic:cNvPicPr/>
                  </pic:nvPicPr>
                  <pic:blipFill>
                    <a:blip xmlns:r="http://schemas.openxmlformats.org/officeDocument/2006/relationships" r:embed="rId851694977">
                      <a:extLst>
                        <a:ext xmlns:a="http://schemas.openxmlformats.org/drawingml/2006/main" uri="{28A0092B-C50C-407E-A947-70E740481C1C}">
                          <a14:useLocalDpi xmlns:a14="http://schemas.microsoft.com/office/drawing/2010/main" val="0"/>
                        </a:ext>
                      </a:extLst>
                    </a:blip>
                    <a:stretch>
                      <a:fillRect/>
                    </a:stretch>
                  </pic:blipFill>
                  <pic:spPr>
                    <a:xfrm>
                      <a:off x="0" y="0"/>
                      <a:ext cx="6467475" cy="2181225"/>
                    </a:xfrm>
                    <a:prstGeom prst="rect">
                      <a:avLst/>
                    </a:prstGeom>
                  </pic:spPr>
                </pic:pic>
              </a:graphicData>
            </a:graphic>
          </wp:inline>
        </w:drawing>
      </w:r>
      <w:r w:rsidR="6F6C8557">
        <w:drawing>
          <wp:inline wp14:editId="234A47B0" wp14:anchorId="4E57F5C3">
            <wp:extent cx="6534150" cy="2952750"/>
            <wp:effectExtent l="0" t="0" r="0" b="0"/>
            <wp:docPr id="11427197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4271976" name=""/>
                    <pic:cNvPicPr/>
                  </pic:nvPicPr>
                  <pic:blipFill>
                    <a:blip xmlns:r="http://schemas.openxmlformats.org/officeDocument/2006/relationships" r:embed="rId1199371666">
                      <a:extLst>
                        <a:ext xmlns:a="http://schemas.openxmlformats.org/drawingml/2006/main" uri="{28A0092B-C50C-407E-A947-70E740481C1C}">
                          <a14:useLocalDpi xmlns:a14="http://schemas.microsoft.com/office/drawing/2010/main" val="0"/>
                        </a:ext>
                      </a:extLst>
                    </a:blip>
                    <a:stretch>
                      <a:fillRect/>
                    </a:stretch>
                  </pic:blipFill>
                  <pic:spPr>
                    <a:xfrm>
                      <a:off x="0" y="0"/>
                      <a:ext cx="6534150" cy="2952750"/>
                    </a:xfrm>
                    <a:prstGeom prst="rect">
                      <a:avLst/>
                    </a:prstGeom>
                  </pic:spPr>
                </pic:pic>
              </a:graphicData>
            </a:graphic>
          </wp:inline>
        </w:drawing>
      </w:r>
      <w:r w:rsidR="6F6C8557">
        <w:drawing>
          <wp:inline wp14:editId="3AF25799" wp14:anchorId="7D2829BF">
            <wp:extent cx="6524625" cy="4438650"/>
            <wp:effectExtent l="0" t="0" r="0" b="0"/>
            <wp:docPr id="185833470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58334709" name=""/>
                    <pic:cNvPicPr/>
                  </pic:nvPicPr>
                  <pic:blipFill>
                    <a:blip xmlns:r="http://schemas.openxmlformats.org/officeDocument/2006/relationships" r:embed="rId420478042">
                      <a:extLst>
                        <a:ext xmlns:a="http://schemas.openxmlformats.org/drawingml/2006/main" uri="{28A0092B-C50C-407E-A947-70E740481C1C}">
                          <a14:useLocalDpi xmlns:a14="http://schemas.microsoft.com/office/drawing/2010/main" val="0"/>
                        </a:ext>
                      </a:extLst>
                    </a:blip>
                    <a:stretch>
                      <a:fillRect/>
                    </a:stretch>
                  </pic:blipFill>
                  <pic:spPr>
                    <a:xfrm>
                      <a:off x="0" y="0"/>
                      <a:ext cx="6524625" cy="4438650"/>
                    </a:xfrm>
                    <a:prstGeom prst="rect">
                      <a:avLst/>
                    </a:prstGeom>
                  </pic:spPr>
                </pic:pic>
              </a:graphicData>
            </a:graphic>
          </wp:inline>
        </w:drawing>
      </w:r>
    </w:p>
    <w:sectPr w:rsidR="6E7E4CE9" w:rsidSect="00560197">
      <w:headerReference w:type="default" r:id="rId14"/>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45CC" w:rsidRDefault="00D645CC" w14:paraId="782F6765" w14:textId="77777777">
      <w:pPr>
        <w:spacing w:after="0" w:line="240" w:lineRule="auto"/>
      </w:pPr>
      <w:r>
        <w:separator/>
      </w:r>
    </w:p>
  </w:endnote>
  <w:endnote w:type="continuationSeparator" w:id="0">
    <w:p w:rsidR="00D645CC" w:rsidRDefault="00D645CC" w14:paraId="55A82818" w14:textId="77777777">
      <w:pPr>
        <w:spacing w:after="0" w:line="240" w:lineRule="auto"/>
      </w:pPr>
      <w:r>
        <w:continuationSeparator/>
      </w:r>
    </w:p>
  </w:endnote>
  <w:endnote w:type="continuationNotice" w:id="1">
    <w:p w:rsidR="00F957C1" w:rsidRDefault="00F957C1" w14:paraId="4F15FAB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6E7E4CE9" w:rsidP="653F32A3" w:rsidRDefault="6E7E4CE9" w14:paraId="3F6E740A" w14:textId="396CCFB3" w14:noSpellErr="1">
    <w:pPr>
      <w:pStyle w:val="Footer"/>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45CC" w:rsidRDefault="00D645CC" w14:paraId="1A23E6BB" w14:textId="77777777">
      <w:pPr>
        <w:spacing w:after="0" w:line="240" w:lineRule="auto"/>
      </w:pPr>
      <w:r>
        <w:separator/>
      </w:r>
    </w:p>
  </w:footnote>
  <w:footnote w:type="continuationSeparator" w:id="0">
    <w:p w:rsidR="00D645CC" w:rsidRDefault="00D645CC" w14:paraId="29B98683" w14:textId="77777777">
      <w:pPr>
        <w:spacing w:after="0" w:line="240" w:lineRule="auto"/>
      </w:pPr>
      <w:r>
        <w:continuationSeparator/>
      </w:r>
    </w:p>
  </w:footnote>
  <w:footnote w:type="continuationNotice" w:id="1">
    <w:p w:rsidR="00F957C1" w:rsidRDefault="00F957C1" w14:paraId="5551B46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6E7E4CE9" w:rsidP="6E7E4CE9" w:rsidRDefault="6E7E4CE9" w14:paraId="3DCBD430" w14:textId="059165F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l51kfdMi" int2:invalidationBookmarkName="" int2:hashCode="0qKH0kmkjguf5B" int2:id="UBOnnIc5">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D95AC"/>
    <w:multiLevelType w:val="hybridMultilevel"/>
    <w:tmpl w:val="FFFFFFFF"/>
    <w:lvl w:ilvl="0" w:tplc="8850EE24">
      <w:start w:val="1"/>
      <w:numFmt w:val="bullet"/>
      <w:lvlText w:val=""/>
      <w:lvlJc w:val="left"/>
      <w:pPr>
        <w:ind w:left="720" w:hanging="360"/>
      </w:pPr>
      <w:rPr>
        <w:rFonts w:hint="default" w:ascii="Symbol" w:hAnsi="Symbol"/>
      </w:rPr>
    </w:lvl>
    <w:lvl w:ilvl="1" w:tplc="886E4AB2">
      <w:start w:val="1"/>
      <w:numFmt w:val="bullet"/>
      <w:lvlText w:val="o"/>
      <w:lvlJc w:val="left"/>
      <w:pPr>
        <w:ind w:left="1440" w:hanging="360"/>
      </w:pPr>
      <w:rPr>
        <w:rFonts w:hint="default" w:ascii="Courier New" w:hAnsi="Courier New"/>
      </w:rPr>
    </w:lvl>
    <w:lvl w:ilvl="2" w:tplc="1576AA88">
      <w:start w:val="1"/>
      <w:numFmt w:val="bullet"/>
      <w:lvlText w:val=""/>
      <w:lvlJc w:val="left"/>
      <w:pPr>
        <w:ind w:left="2160" w:hanging="360"/>
      </w:pPr>
      <w:rPr>
        <w:rFonts w:hint="default" w:ascii="Wingdings" w:hAnsi="Wingdings"/>
      </w:rPr>
    </w:lvl>
    <w:lvl w:ilvl="3" w:tplc="D4FE917A">
      <w:start w:val="1"/>
      <w:numFmt w:val="bullet"/>
      <w:lvlText w:val=""/>
      <w:lvlJc w:val="left"/>
      <w:pPr>
        <w:ind w:left="2880" w:hanging="360"/>
      </w:pPr>
      <w:rPr>
        <w:rFonts w:hint="default" w:ascii="Symbol" w:hAnsi="Symbol"/>
      </w:rPr>
    </w:lvl>
    <w:lvl w:ilvl="4" w:tplc="8FA4E8C8">
      <w:start w:val="1"/>
      <w:numFmt w:val="bullet"/>
      <w:lvlText w:val="o"/>
      <w:lvlJc w:val="left"/>
      <w:pPr>
        <w:ind w:left="3600" w:hanging="360"/>
      </w:pPr>
      <w:rPr>
        <w:rFonts w:hint="default" w:ascii="Courier New" w:hAnsi="Courier New"/>
      </w:rPr>
    </w:lvl>
    <w:lvl w:ilvl="5" w:tplc="F776243A">
      <w:start w:val="1"/>
      <w:numFmt w:val="bullet"/>
      <w:lvlText w:val=""/>
      <w:lvlJc w:val="left"/>
      <w:pPr>
        <w:ind w:left="4320" w:hanging="360"/>
      </w:pPr>
      <w:rPr>
        <w:rFonts w:hint="default" w:ascii="Wingdings" w:hAnsi="Wingdings"/>
      </w:rPr>
    </w:lvl>
    <w:lvl w:ilvl="6" w:tplc="1EE801B8">
      <w:start w:val="1"/>
      <w:numFmt w:val="bullet"/>
      <w:lvlText w:val=""/>
      <w:lvlJc w:val="left"/>
      <w:pPr>
        <w:ind w:left="5040" w:hanging="360"/>
      </w:pPr>
      <w:rPr>
        <w:rFonts w:hint="default" w:ascii="Symbol" w:hAnsi="Symbol"/>
      </w:rPr>
    </w:lvl>
    <w:lvl w:ilvl="7" w:tplc="589A7D98">
      <w:start w:val="1"/>
      <w:numFmt w:val="bullet"/>
      <w:lvlText w:val="o"/>
      <w:lvlJc w:val="left"/>
      <w:pPr>
        <w:ind w:left="5760" w:hanging="360"/>
      </w:pPr>
      <w:rPr>
        <w:rFonts w:hint="default" w:ascii="Courier New" w:hAnsi="Courier New"/>
      </w:rPr>
    </w:lvl>
    <w:lvl w:ilvl="8" w:tplc="C00C0D7E">
      <w:start w:val="1"/>
      <w:numFmt w:val="bullet"/>
      <w:lvlText w:val=""/>
      <w:lvlJc w:val="left"/>
      <w:pPr>
        <w:ind w:left="6480" w:hanging="360"/>
      </w:pPr>
      <w:rPr>
        <w:rFonts w:hint="default" w:ascii="Wingdings" w:hAnsi="Wingdings"/>
      </w:rPr>
    </w:lvl>
  </w:abstractNum>
  <w:abstractNum w:abstractNumId="1" w15:restartNumberingAfterBreak="0">
    <w:nsid w:val="3CC81586"/>
    <w:multiLevelType w:val="hybridMultilevel"/>
    <w:tmpl w:val="BEF425E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1F6854"/>
    <w:multiLevelType w:val="hybridMultilevel"/>
    <w:tmpl w:val="BF8A9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E1749C"/>
    <w:multiLevelType w:val="hybridMultilevel"/>
    <w:tmpl w:val="E418FCCC"/>
    <w:lvl w:ilvl="0" w:tplc="B5B2175C">
      <w:start w:val="1"/>
      <w:numFmt w:val="bullet"/>
      <w:lvlText w:val=""/>
      <w:lvlJc w:val="left"/>
      <w:pPr>
        <w:ind w:left="360" w:hanging="360"/>
      </w:pPr>
      <w:rPr>
        <w:rFonts w:hint="default" w:ascii="Symbol" w:hAnsi="Symbol"/>
      </w:rPr>
    </w:lvl>
    <w:lvl w:ilvl="1" w:tplc="8432E95E">
      <w:start w:val="1"/>
      <w:numFmt w:val="bullet"/>
      <w:lvlText w:val="o"/>
      <w:lvlJc w:val="left"/>
      <w:pPr>
        <w:ind w:left="1080" w:hanging="360"/>
      </w:pPr>
      <w:rPr>
        <w:rFonts w:hint="default" w:ascii="Courier New" w:hAnsi="Courier New"/>
      </w:rPr>
    </w:lvl>
    <w:lvl w:ilvl="2" w:tplc="56149030">
      <w:start w:val="1"/>
      <w:numFmt w:val="bullet"/>
      <w:lvlText w:val=""/>
      <w:lvlJc w:val="left"/>
      <w:pPr>
        <w:ind w:left="1800" w:hanging="360"/>
      </w:pPr>
      <w:rPr>
        <w:rFonts w:hint="default" w:ascii="Wingdings" w:hAnsi="Wingdings"/>
      </w:rPr>
    </w:lvl>
    <w:lvl w:ilvl="3" w:tplc="E8EEB308">
      <w:start w:val="1"/>
      <w:numFmt w:val="bullet"/>
      <w:lvlText w:val=""/>
      <w:lvlJc w:val="left"/>
      <w:pPr>
        <w:ind w:left="2520" w:hanging="360"/>
      </w:pPr>
      <w:rPr>
        <w:rFonts w:hint="default" w:ascii="Symbol" w:hAnsi="Symbol"/>
      </w:rPr>
    </w:lvl>
    <w:lvl w:ilvl="4" w:tplc="B38EC242">
      <w:start w:val="1"/>
      <w:numFmt w:val="bullet"/>
      <w:lvlText w:val="o"/>
      <w:lvlJc w:val="left"/>
      <w:pPr>
        <w:ind w:left="3240" w:hanging="360"/>
      </w:pPr>
      <w:rPr>
        <w:rFonts w:hint="default" w:ascii="Courier New" w:hAnsi="Courier New"/>
      </w:rPr>
    </w:lvl>
    <w:lvl w:ilvl="5" w:tplc="E27EB0D0">
      <w:start w:val="1"/>
      <w:numFmt w:val="bullet"/>
      <w:lvlText w:val=""/>
      <w:lvlJc w:val="left"/>
      <w:pPr>
        <w:ind w:left="3960" w:hanging="360"/>
      </w:pPr>
      <w:rPr>
        <w:rFonts w:hint="default" w:ascii="Wingdings" w:hAnsi="Wingdings"/>
      </w:rPr>
    </w:lvl>
    <w:lvl w:ilvl="6" w:tplc="C04E0872">
      <w:start w:val="1"/>
      <w:numFmt w:val="bullet"/>
      <w:lvlText w:val=""/>
      <w:lvlJc w:val="left"/>
      <w:pPr>
        <w:ind w:left="4680" w:hanging="360"/>
      </w:pPr>
      <w:rPr>
        <w:rFonts w:hint="default" w:ascii="Symbol" w:hAnsi="Symbol"/>
      </w:rPr>
    </w:lvl>
    <w:lvl w:ilvl="7" w:tplc="75ACD4E8">
      <w:start w:val="1"/>
      <w:numFmt w:val="bullet"/>
      <w:lvlText w:val="o"/>
      <w:lvlJc w:val="left"/>
      <w:pPr>
        <w:ind w:left="5400" w:hanging="360"/>
      </w:pPr>
      <w:rPr>
        <w:rFonts w:hint="default" w:ascii="Courier New" w:hAnsi="Courier New"/>
      </w:rPr>
    </w:lvl>
    <w:lvl w:ilvl="8" w:tplc="7E82A9A4">
      <w:start w:val="1"/>
      <w:numFmt w:val="bullet"/>
      <w:lvlText w:val=""/>
      <w:lvlJc w:val="left"/>
      <w:pPr>
        <w:ind w:left="6120" w:hanging="360"/>
      </w:pPr>
      <w:rPr>
        <w:rFonts w:hint="default" w:ascii="Wingdings" w:hAnsi="Wingdings"/>
      </w:rPr>
    </w:lvl>
  </w:abstractNum>
  <w:abstractNum w:abstractNumId="4" w15:restartNumberingAfterBreak="0">
    <w:nsid w:val="539D9354"/>
    <w:multiLevelType w:val="hybridMultilevel"/>
    <w:tmpl w:val="FFFFFFFF"/>
    <w:lvl w:ilvl="0" w:tplc="7A466744">
      <w:start w:val="1"/>
      <w:numFmt w:val="decimal"/>
      <w:lvlText w:val="%1."/>
      <w:lvlJc w:val="left"/>
      <w:pPr>
        <w:ind w:left="720" w:hanging="360"/>
      </w:pPr>
    </w:lvl>
    <w:lvl w:ilvl="1" w:tplc="25709872">
      <w:start w:val="1"/>
      <w:numFmt w:val="lowerLetter"/>
      <w:lvlText w:val="%2."/>
      <w:lvlJc w:val="left"/>
      <w:pPr>
        <w:ind w:left="1440" w:hanging="360"/>
      </w:pPr>
    </w:lvl>
    <w:lvl w:ilvl="2" w:tplc="F9E8EBA6">
      <w:start w:val="1"/>
      <w:numFmt w:val="lowerRoman"/>
      <w:lvlText w:val="%3."/>
      <w:lvlJc w:val="right"/>
      <w:pPr>
        <w:ind w:left="2160" w:hanging="180"/>
      </w:pPr>
    </w:lvl>
    <w:lvl w:ilvl="3" w:tplc="E55C7694">
      <w:start w:val="1"/>
      <w:numFmt w:val="decimal"/>
      <w:lvlText w:val="%4."/>
      <w:lvlJc w:val="left"/>
      <w:pPr>
        <w:ind w:left="2880" w:hanging="360"/>
      </w:pPr>
    </w:lvl>
    <w:lvl w:ilvl="4" w:tplc="6A1660CA">
      <w:start w:val="1"/>
      <w:numFmt w:val="lowerLetter"/>
      <w:lvlText w:val="%5."/>
      <w:lvlJc w:val="left"/>
      <w:pPr>
        <w:ind w:left="3600" w:hanging="360"/>
      </w:pPr>
    </w:lvl>
    <w:lvl w:ilvl="5" w:tplc="B0264338">
      <w:start w:val="1"/>
      <w:numFmt w:val="lowerRoman"/>
      <w:lvlText w:val="%6."/>
      <w:lvlJc w:val="right"/>
      <w:pPr>
        <w:ind w:left="4320" w:hanging="180"/>
      </w:pPr>
    </w:lvl>
    <w:lvl w:ilvl="6" w:tplc="0B586F50">
      <w:start w:val="1"/>
      <w:numFmt w:val="decimal"/>
      <w:lvlText w:val="%7."/>
      <w:lvlJc w:val="left"/>
      <w:pPr>
        <w:ind w:left="5040" w:hanging="360"/>
      </w:pPr>
    </w:lvl>
    <w:lvl w:ilvl="7" w:tplc="E2D2581E">
      <w:start w:val="1"/>
      <w:numFmt w:val="lowerLetter"/>
      <w:lvlText w:val="%8."/>
      <w:lvlJc w:val="left"/>
      <w:pPr>
        <w:ind w:left="5760" w:hanging="360"/>
      </w:pPr>
    </w:lvl>
    <w:lvl w:ilvl="8" w:tplc="12A83ED8">
      <w:start w:val="1"/>
      <w:numFmt w:val="lowerRoman"/>
      <w:lvlText w:val="%9."/>
      <w:lvlJc w:val="right"/>
      <w:pPr>
        <w:ind w:left="6480" w:hanging="180"/>
      </w:pPr>
    </w:lvl>
  </w:abstractNum>
  <w:abstractNum w:abstractNumId="5" w15:restartNumberingAfterBreak="0">
    <w:nsid w:val="5A316C05"/>
    <w:multiLevelType w:val="hybridMultilevel"/>
    <w:tmpl w:val="FFFFFFFF"/>
    <w:lvl w:ilvl="0" w:tplc="521689EA">
      <w:start w:val="1"/>
      <w:numFmt w:val="decimal"/>
      <w:lvlText w:val="%1."/>
      <w:lvlJc w:val="left"/>
      <w:pPr>
        <w:ind w:left="720" w:hanging="360"/>
      </w:pPr>
    </w:lvl>
    <w:lvl w:ilvl="1" w:tplc="578AB800">
      <w:start w:val="1"/>
      <w:numFmt w:val="lowerLetter"/>
      <w:lvlText w:val="%2."/>
      <w:lvlJc w:val="left"/>
      <w:pPr>
        <w:ind w:left="1440" w:hanging="360"/>
      </w:pPr>
    </w:lvl>
    <w:lvl w:ilvl="2" w:tplc="88EC5384">
      <w:start w:val="1"/>
      <w:numFmt w:val="lowerRoman"/>
      <w:lvlText w:val="%3."/>
      <w:lvlJc w:val="right"/>
      <w:pPr>
        <w:ind w:left="2160" w:hanging="180"/>
      </w:pPr>
    </w:lvl>
    <w:lvl w:ilvl="3" w:tplc="5FFA5B6A">
      <w:start w:val="1"/>
      <w:numFmt w:val="decimal"/>
      <w:lvlText w:val="%4."/>
      <w:lvlJc w:val="left"/>
      <w:pPr>
        <w:ind w:left="2880" w:hanging="360"/>
      </w:pPr>
    </w:lvl>
    <w:lvl w:ilvl="4" w:tplc="486CE44E">
      <w:start w:val="1"/>
      <w:numFmt w:val="lowerLetter"/>
      <w:lvlText w:val="%5."/>
      <w:lvlJc w:val="left"/>
      <w:pPr>
        <w:ind w:left="3600" w:hanging="360"/>
      </w:pPr>
    </w:lvl>
    <w:lvl w:ilvl="5" w:tplc="2BACE172">
      <w:start w:val="1"/>
      <w:numFmt w:val="lowerRoman"/>
      <w:lvlText w:val="%6."/>
      <w:lvlJc w:val="right"/>
      <w:pPr>
        <w:ind w:left="4320" w:hanging="180"/>
      </w:pPr>
    </w:lvl>
    <w:lvl w:ilvl="6" w:tplc="65C23FC8">
      <w:start w:val="1"/>
      <w:numFmt w:val="decimal"/>
      <w:lvlText w:val="%7."/>
      <w:lvlJc w:val="left"/>
      <w:pPr>
        <w:ind w:left="5040" w:hanging="360"/>
      </w:pPr>
    </w:lvl>
    <w:lvl w:ilvl="7" w:tplc="6A52414E">
      <w:start w:val="1"/>
      <w:numFmt w:val="lowerLetter"/>
      <w:lvlText w:val="%8."/>
      <w:lvlJc w:val="left"/>
      <w:pPr>
        <w:ind w:left="5760" w:hanging="360"/>
      </w:pPr>
    </w:lvl>
    <w:lvl w:ilvl="8" w:tplc="CAA806DC">
      <w:start w:val="1"/>
      <w:numFmt w:val="lowerRoman"/>
      <w:lvlText w:val="%9."/>
      <w:lvlJc w:val="right"/>
      <w:pPr>
        <w:ind w:left="6480" w:hanging="180"/>
      </w:pPr>
    </w:lvl>
  </w:abstractNum>
  <w:abstractNum w:abstractNumId="6" w15:restartNumberingAfterBreak="0">
    <w:nsid w:val="5BBB659D"/>
    <w:multiLevelType w:val="hybridMultilevel"/>
    <w:tmpl w:val="83085386"/>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4A9A46F"/>
    <w:multiLevelType w:val="hybridMultilevel"/>
    <w:tmpl w:val="FFFFFFFF"/>
    <w:lvl w:ilvl="0" w:tplc="16D8D426">
      <w:start w:val="1"/>
      <w:numFmt w:val="decimal"/>
      <w:lvlText w:val="%1."/>
      <w:lvlJc w:val="left"/>
      <w:pPr>
        <w:ind w:left="720" w:hanging="360"/>
      </w:pPr>
    </w:lvl>
    <w:lvl w:ilvl="1" w:tplc="52B8B330">
      <w:start w:val="1"/>
      <w:numFmt w:val="lowerLetter"/>
      <w:lvlText w:val="%2."/>
      <w:lvlJc w:val="left"/>
      <w:pPr>
        <w:ind w:left="1440" w:hanging="360"/>
      </w:pPr>
    </w:lvl>
    <w:lvl w:ilvl="2" w:tplc="BE404758">
      <w:start w:val="1"/>
      <w:numFmt w:val="lowerRoman"/>
      <w:lvlText w:val="%3."/>
      <w:lvlJc w:val="right"/>
      <w:pPr>
        <w:ind w:left="2160" w:hanging="180"/>
      </w:pPr>
    </w:lvl>
    <w:lvl w:ilvl="3" w:tplc="64B87ACE">
      <w:start w:val="1"/>
      <w:numFmt w:val="decimal"/>
      <w:lvlText w:val="%4."/>
      <w:lvlJc w:val="left"/>
      <w:pPr>
        <w:ind w:left="2880" w:hanging="360"/>
      </w:pPr>
    </w:lvl>
    <w:lvl w:ilvl="4" w:tplc="9C5CDF8E">
      <w:start w:val="1"/>
      <w:numFmt w:val="lowerLetter"/>
      <w:lvlText w:val="%5."/>
      <w:lvlJc w:val="left"/>
      <w:pPr>
        <w:ind w:left="3600" w:hanging="360"/>
      </w:pPr>
    </w:lvl>
    <w:lvl w:ilvl="5" w:tplc="FA60FA8C">
      <w:start w:val="1"/>
      <w:numFmt w:val="lowerRoman"/>
      <w:lvlText w:val="%6."/>
      <w:lvlJc w:val="right"/>
      <w:pPr>
        <w:ind w:left="4320" w:hanging="180"/>
      </w:pPr>
    </w:lvl>
    <w:lvl w:ilvl="6" w:tplc="785CEC62">
      <w:start w:val="1"/>
      <w:numFmt w:val="decimal"/>
      <w:lvlText w:val="%7."/>
      <w:lvlJc w:val="left"/>
      <w:pPr>
        <w:ind w:left="5040" w:hanging="360"/>
      </w:pPr>
    </w:lvl>
    <w:lvl w:ilvl="7" w:tplc="0ED66918">
      <w:start w:val="1"/>
      <w:numFmt w:val="lowerLetter"/>
      <w:lvlText w:val="%8."/>
      <w:lvlJc w:val="left"/>
      <w:pPr>
        <w:ind w:left="5760" w:hanging="360"/>
      </w:pPr>
    </w:lvl>
    <w:lvl w:ilvl="8" w:tplc="580634EC">
      <w:start w:val="1"/>
      <w:numFmt w:val="lowerRoman"/>
      <w:lvlText w:val="%9."/>
      <w:lvlJc w:val="right"/>
      <w:pPr>
        <w:ind w:left="6480" w:hanging="180"/>
      </w:pPr>
    </w:lvl>
  </w:abstractNum>
  <w:num w:numId="1" w16cid:durableId="515583351">
    <w:abstractNumId w:val="3"/>
  </w:num>
  <w:num w:numId="2" w16cid:durableId="445542295">
    <w:abstractNumId w:val="0"/>
  </w:num>
  <w:num w:numId="3" w16cid:durableId="158037488">
    <w:abstractNumId w:val="5"/>
  </w:num>
  <w:num w:numId="4" w16cid:durableId="1608540993">
    <w:abstractNumId w:val="4"/>
  </w:num>
  <w:num w:numId="5" w16cid:durableId="1850827200">
    <w:abstractNumId w:val="7"/>
  </w:num>
  <w:num w:numId="6" w16cid:durableId="1260529067">
    <w:abstractNumId w:val="1"/>
  </w:num>
  <w:num w:numId="7" w16cid:durableId="571162951">
    <w:abstractNumId w:val="2"/>
  </w:num>
  <w:num w:numId="8" w16cid:durableId="1821000294">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197"/>
    <w:rsid w:val="00047C08"/>
    <w:rsid w:val="00065B48"/>
    <w:rsid w:val="00066209"/>
    <w:rsid w:val="00081BC2"/>
    <w:rsid w:val="00094EDA"/>
    <w:rsid w:val="000B18CE"/>
    <w:rsid w:val="000B5720"/>
    <w:rsid w:val="000C09E4"/>
    <w:rsid w:val="000E6510"/>
    <w:rsid w:val="00110B2C"/>
    <w:rsid w:val="00114C9A"/>
    <w:rsid w:val="00121816"/>
    <w:rsid w:val="00160372"/>
    <w:rsid w:val="001729F4"/>
    <w:rsid w:val="001A6A34"/>
    <w:rsid w:val="001D349E"/>
    <w:rsid w:val="002457D7"/>
    <w:rsid w:val="00261989"/>
    <w:rsid w:val="0026778A"/>
    <w:rsid w:val="00285C58"/>
    <w:rsid w:val="00290D91"/>
    <w:rsid w:val="002B5B0A"/>
    <w:rsid w:val="002C7EB5"/>
    <w:rsid w:val="002D34D2"/>
    <w:rsid w:val="002E077A"/>
    <w:rsid w:val="00302F43"/>
    <w:rsid w:val="00326DB4"/>
    <w:rsid w:val="00341F03"/>
    <w:rsid w:val="00343014"/>
    <w:rsid w:val="00353360"/>
    <w:rsid w:val="00380612"/>
    <w:rsid w:val="003B6084"/>
    <w:rsid w:val="003B6AC3"/>
    <w:rsid w:val="003E3509"/>
    <w:rsid w:val="003F3B31"/>
    <w:rsid w:val="0040431D"/>
    <w:rsid w:val="00406259"/>
    <w:rsid w:val="004115F5"/>
    <w:rsid w:val="0042310B"/>
    <w:rsid w:val="00427001"/>
    <w:rsid w:val="00434451"/>
    <w:rsid w:val="0047300E"/>
    <w:rsid w:val="00481727"/>
    <w:rsid w:val="00482C8D"/>
    <w:rsid w:val="00495140"/>
    <w:rsid w:val="00497DDA"/>
    <w:rsid w:val="004A7BD2"/>
    <w:rsid w:val="00523C50"/>
    <w:rsid w:val="0054055B"/>
    <w:rsid w:val="00560197"/>
    <w:rsid w:val="00577F8D"/>
    <w:rsid w:val="005834B7"/>
    <w:rsid w:val="00597EEC"/>
    <w:rsid w:val="005B3742"/>
    <w:rsid w:val="005B3E29"/>
    <w:rsid w:val="005B4ECE"/>
    <w:rsid w:val="005C2047"/>
    <w:rsid w:val="005D3D87"/>
    <w:rsid w:val="005E0ECD"/>
    <w:rsid w:val="005F09A2"/>
    <w:rsid w:val="006179D7"/>
    <w:rsid w:val="006204EE"/>
    <w:rsid w:val="00632668"/>
    <w:rsid w:val="00633961"/>
    <w:rsid w:val="00644562"/>
    <w:rsid w:val="0064EB1A"/>
    <w:rsid w:val="0066122B"/>
    <w:rsid w:val="00661B39"/>
    <w:rsid w:val="0067019D"/>
    <w:rsid w:val="00674360"/>
    <w:rsid w:val="00696C6E"/>
    <w:rsid w:val="006C6509"/>
    <w:rsid w:val="006D1373"/>
    <w:rsid w:val="006D45F6"/>
    <w:rsid w:val="00714BAE"/>
    <w:rsid w:val="00717FC4"/>
    <w:rsid w:val="00754FF9"/>
    <w:rsid w:val="00767F0E"/>
    <w:rsid w:val="00773B74"/>
    <w:rsid w:val="007759FA"/>
    <w:rsid w:val="007B3B4F"/>
    <w:rsid w:val="007C121B"/>
    <w:rsid w:val="007C62B5"/>
    <w:rsid w:val="007C71B8"/>
    <w:rsid w:val="007D78BE"/>
    <w:rsid w:val="007F14C5"/>
    <w:rsid w:val="007F7EC9"/>
    <w:rsid w:val="0081106B"/>
    <w:rsid w:val="008168DE"/>
    <w:rsid w:val="008218AE"/>
    <w:rsid w:val="00834136"/>
    <w:rsid w:val="008541BD"/>
    <w:rsid w:val="008733D5"/>
    <w:rsid w:val="00874192"/>
    <w:rsid w:val="008A0516"/>
    <w:rsid w:val="008A72CB"/>
    <w:rsid w:val="008B0CF1"/>
    <w:rsid w:val="008E1997"/>
    <w:rsid w:val="008E6526"/>
    <w:rsid w:val="0090702D"/>
    <w:rsid w:val="0097F58E"/>
    <w:rsid w:val="00986C8B"/>
    <w:rsid w:val="0099609A"/>
    <w:rsid w:val="009A745C"/>
    <w:rsid w:val="009B1557"/>
    <w:rsid w:val="009B7890"/>
    <w:rsid w:val="009E0B84"/>
    <w:rsid w:val="00A13573"/>
    <w:rsid w:val="00A44299"/>
    <w:rsid w:val="00A55053"/>
    <w:rsid w:val="00A633E2"/>
    <w:rsid w:val="00AB2840"/>
    <w:rsid w:val="00AC5A18"/>
    <w:rsid w:val="00AD4432"/>
    <w:rsid w:val="00B00422"/>
    <w:rsid w:val="00B05EA1"/>
    <w:rsid w:val="00B1207B"/>
    <w:rsid w:val="00BB15C8"/>
    <w:rsid w:val="00BC36C7"/>
    <w:rsid w:val="00BE4DFD"/>
    <w:rsid w:val="00BF611C"/>
    <w:rsid w:val="00C51EB7"/>
    <w:rsid w:val="00C6483E"/>
    <w:rsid w:val="00CB0DF0"/>
    <w:rsid w:val="00CB489B"/>
    <w:rsid w:val="00CF1E0A"/>
    <w:rsid w:val="00CF3288"/>
    <w:rsid w:val="00D020F2"/>
    <w:rsid w:val="00D218B9"/>
    <w:rsid w:val="00D376C8"/>
    <w:rsid w:val="00D645CC"/>
    <w:rsid w:val="00D71BB1"/>
    <w:rsid w:val="00D77859"/>
    <w:rsid w:val="00D800F3"/>
    <w:rsid w:val="00D957BA"/>
    <w:rsid w:val="00D95AD5"/>
    <w:rsid w:val="00DA7F68"/>
    <w:rsid w:val="00DB0B43"/>
    <w:rsid w:val="00DE0210"/>
    <w:rsid w:val="00E80A61"/>
    <w:rsid w:val="00E91BBE"/>
    <w:rsid w:val="00E93ABD"/>
    <w:rsid w:val="00EA4C9F"/>
    <w:rsid w:val="00ED7225"/>
    <w:rsid w:val="00EE6CDB"/>
    <w:rsid w:val="00EE7308"/>
    <w:rsid w:val="00F22FB5"/>
    <w:rsid w:val="00F34367"/>
    <w:rsid w:val="00F4416E"/>
    <w:rsid w:val="00F560D0"/>
    <w:rsid w:val="00F957C1"/>
    <w:rsid w:val="00FA5FBF"/>
    <w:rsid w:val="00FC1C39"/>
    <w:rsid w:val="00FC2E59"/>
    <w:rsid w:val="00FE51AE"/>
    <w:rsid w:val="011CC023"/>
    <w:rsid w:val="0140FF9C"/>
    <w:rsid w:val="018FD7E7"/>
    <w:rsid w:val="019272E2"/>
    <w:rsid w:val="01BD95D9"/>
    <w:rsid w:val="01CF6F02"/>
    <w:rsid w:val="01FCEC5C"/>
    <w:rsid w:val="020F5D39"/>
    <w:rsid w:val="0280E447"/>
    <w:rsid w:val="02CC6D91"/>
    <w:rsid w:val="02DDD8BE"/>
    <w:rsid w:val="02F8CFFC"/>
    <w:rsid w:val="02FC2513"/>
    <w:rsid w:val="03831311"/>
    <w:rsid w:val="03CD3F00"/>
    <w:rsid w:val="03D623A4"/>
    <w:rsid w:val="0423E7F3"/>
    <w:rsid w:val="043A5AC9"/>
    <w:rsid w:val="0448D631"/>
    <w:rsid w:val="044A64B1"/>
    <w:rsid w:val="045E81C4"/>
    <w:rsid w:val="04C48E24"/>
    <w:rsid w:val="054B6BF1"/>
    <w:rsid w:val="057DA861"/>
    <w:rsid w:val="0592D0DF"/>
    <w:rsid w:val="05F659AD"/>
    <w:rsid w:val="061221CD"/>
    <w:rsid w:val="0649B78A"/>
    <w:rsid w:val="06E99E7E"/>
    <w:rsid w:val="0769CCEA"/>
    <w:rsid w:val="07DDFBAA"/>
    <w:rsid w:val="080C98F6"/>
    <w:rsid w:val="089B7627"/>
    <w:rsid w:val="08A2C49E"/>
    <w:rsid w:val="08F225F1"/>
    <w:rsid w:val="092649FC"/>
    <w:rsid w:val="092BA152"/>
    <w:rsid w:val="0930D07F"/>
    <w:rsid w:val="096BCF2C"/>
    <w:rsid w:val="096D2F4A"/>
    <w:rsid w:val="0AB9CBEA"/>
    <w:rsid w:val="0AF44B49"/>
    <w:rsid w:val="0AF706D7"/>
    <w:rsid w:val="0B15A189"/>
    <w:rsid w:val="0CDA5853"/>
    <w:rsid w:val="0CDFD328"/>
    <w:rsid w:val="0CEBC552"/>
    <w:rsid w:val="0CFD071F"/>
    <w:rsid w:val="0D6A411A"/>
    <w:rsid w:val="0D947C9A"/>
    <w:rsid w:val="0DD2007E"/>
    <w:rsid w:val="0DFC2FC6"/>
    <w:rsid w:val="0E475F43"/>
    <w:rsid w:val="0FA0B391"/>
    <w:rsid w:val="0FAFD9D7"/>
    <w:rsid w:val="0FBC9959"/>
    <w:rsid w:val="0FD8F75C"/>
    <w:rsid w:val="101DF0F9"/>
    <w:rsid w:val="1023F9E1"/>
    <w:rsid w:val="10470E74"/>
    <w:rsid w:val="10652AD2"/>
    <w:rsid w:val="1075F718"/>
    <w:rsid w:val="10878367"/>
    <w:rsid w:val="10ADC82E"/>
    <w:rsid w:val="10FA8F0E"/>
    <w:rsid w:val="111CF727"/>
    <w:rsid w:val="114442B9"/>
    <w:rsid w:val="11A80C1F"/>
    <w:rsid w:val="11D90D86"/>
    <w:rsid w:val="120E698C"/>
    <w:rsid w:val="122F1E58"/>
    <w:rsid w:val="123AF356"/>
    <w:rsid w:val="12B4488E"/>
    <w:rsid w:val="12E7692B"/>
    <w:rsid w:val="12E8CB36"/>
    <w:rsid w:val="135B3F9F"/>
    <w:rsid w:val="1401E904"/>
    <w:rsid w:val="14031F27"/>
    <w:rsid w:val="1461A440"/>
    <w:rsid w:val="14691B62"/>
    <w:rsid w:val="14C9DDB2"/>
    <w:rsid w:val="14DA9ECE"/>
    <w:rsid w:val="14DC291F"/>
    <w:rsid w:val="1525ED81"/>
    <w:rsid w:val="1543AA2D"/>
    <w:rsid w:val="1578BE73"/>
    <w:rsid w:val="1596C817"/>
    <w:rsid w:val="15E78668"/>
    <w:rsid w:val="16272A70"/>
    <w:rsid w:val="1689B4C7"/>
    <w:rsid w:val="1689BEE1"/>
    <w:rsid w:val="1703ADC1"/>
    <w:rsid w:val="170C1F4F"/>
    <w:rsid w:val="1735627D"/>
    <w:rsid w:val="178BD835"/>
    <w:rsid w:val="17FF6F9E"/>
    <w:rsid w:val="187EA126"/>
    <w:rsid w:val="18C41E2B"/>
    <w:rsid w:val="194C56F6"/>
    <w:rsid w:val="1A061A22"/>
    <w:rsid w:val="1A07426F"/>
    <w:rsid w:val="1A081EE7"/>
    <w:rsid w:val="1A33DE3C"/>
    <w:rsid w:val="1A6266F8"/>
    <w:rsid w:val="1A688947"/>
    <w:rsid w:val="1B17D8AC"/>
    <w:rsid w:val="1B5203CD"/>
    <w:rsid w:val="1B68B66A"/>
    <w:rsid w:val="1B78AD16"/>
    <w:rsid w:val="1BAC306F"/>
    <w:rsid w:val="1BBB7334"/>
    <w:rsid w:val="1BE9057B"/>
    <w:rsid w:val="1C6642D0"/>
    <w:rsid w:val="1C79FFCB"/>
    <w:rsid w:val="1CB32613"/>
    <w:rsid w:val="1D20FB02"/>
    <w:rsid w:val="1D915C7F"/>
    <w:rsid w:val="1E02B220"/>
    <w:rsid w:val="1E1E9459"/>
    <w:rsid w:val="1E7DDDA0"/>
    <w:rsid w:val="1E95DA24"/>
    <w:rsid w:val="1EE168C1"/>
    <w:rsid w:val="1F562BC1"/>
    <w:rsid w:val="1F7ABBCA"/>
    <w:rsid w:val="1F7E64D2"/>
    <w:rsid w:val="205E2A58"/>
    <w:rsid w:val="205EE302"/>
    <w:rsid w:val="205FBA5F"/>
    <w:rsid w:val="209DED58"/>
    <w:rsid w:val="20AA577B"/>
    <w:rsid w:val="2121A260"/>
    <w:rsid w:val="21402916"/>
    <w:rsid w:val="21742F4D"/>
    <w:rsid w:val="218C1CC7"/>
    <w:rsid w:val="21EA1417"/>
    <w:rsid w:val="223F5011"/>
    <w:rsid w:val="2249EB17"/>
    <w:rsid w:val="228121BD"/>
    <w:rsid w:val="22EE2ED6"/>
    <w:rsid w:val="23B2F49E"/>
    <w:rsid w:val="24711935"/>
    <w:rsid w:val="2499108F"/>
    <w:rsid w:val="250EFAAC"/>
    <w:rsid w:val="25392649"/>
    <w:rsid w:val="25EAC5B7"/>
    <w:rsid w:val="2611D7BC"/>
    <w:rsid w:val="26CD69E0"/>
    <w:rsid w:val="272D05B1"/>
    <w:rsid w:val="2762D2AB"/>
    <w:rsid w:val="27D62C0B"/>
    <w:rsid w:val="27E73C1F"/>
    <w:rsid w:val="28539FAA"/>
    <w:rsid w:val="2853A36E"/>
    <w:rsid w:val="285D755E"/>
    <w:rsid w:val="28721C6E"/>
    <w:rsid w:val="28C5A95C"/>
    <w:rsid w:val="2901F395"/>
    <w:rsid w:val="292B8FA5"/>
    <w:rsid w:val="296F86F5"/>
    <w:rsid w:val="299D524E"/>
    <w:rsid w:val="29E1AB63"/>
    <w:rsid w:val="2A027B5B"/>
    <w:rsid w:val="2A04E36D"/>
    <w:rsid w:val="2A0BE72F"/>
    <w:rsid w:val="2A2EA4DC"/>
    <w:rsid w:val="2B49A075"/>
    <w:rsid w:val="2B6404C0"/>
    <w:rsid w:val="2BE138FD"/>
    <w:rsid w:val="2C34D91A"/>
    <w:rsid w:val="2CFCF621"/>
    <w:rsid w:val="2CFD0CEB"/>
    <w:rsid w:val="2CFEB7E1"/>
    <w:rsid w:val="2D1052FC"/>
    <w:rsid w:val="2DB275E4"/>
    <w:rsid w:val="2E264601"/>
    <w:rsid w:val="2EECF20C"/>
    <w:rsid w:val="2F36FB83"/>
    <w:rsid w:val="2FABF064"/>
    <w:rsid w:val="2FEB66D7"/>
    <w:rsid w:val="3003662D"/>
    <w:rsid w:val="3012DEB5"/>
    <w:rsid w:val="3014FE51"/>
    <w:rsid w:val="301F5E42"/>
    <w:rsid w:val="31364F26"/>
    <w:rsid w:val="3143225D"/>
    <w:rsid w:val="31603035"/>
    <w:rsid w:val="317423C0"/>
    <w:rsid w:val="324842D9"/>
    <w:rsid w:val="324FED55"/>
    <w:rsid w:val="325E8C41"/>
    <w:rsid w:val="328750D0"/>
    <w:rsid w:val="32C3B474"/>
    <w:rsid w:val="32F49F99"/>
    <w:rsid w:val="337A7C01"/>
    <w:rsid w:val="3393DDD3"/>
    <w:rsid w:val="33EA7E03"/>
    <w:rsid w:val="346D5029"/>
    <w:rsid w:val="34BB6D1E"/>
    <w:rsid w:val="350233EE"/>
    <w:rsid w:val="357CFE87"/>
    <w:rsid w:val="35CF3935"/>
    <w:rsid w:val="35EC92E2"/>
    <w:rsid w:val="3638B8D7"/>
    <w:rsid w:val="368C8E1D"/>
    <w:rsid w:val="36C49F69"/>
    <w:rsid w:val="36CAC55C"/>
    <w:rsid w:val="3708AC54"/>
    <w:rsid w:val="370CBCB3"/>
    <w:rsid w:val="3751F3DB"/>
    <w:rsid w:val="379CA6FF"/>
    <w:rsid w:val="37C1D5F2"/>
    <w:rsid w:val="37FCA709"/>
    <w:rsid w:val="3838A45A"/>
    <w:rsid w:val="3870BD56"/>
    <w:rsid w:val="38A494F6"/>
    <w:rsid w:val="392CB809"/>
    <w:rsid w:val="395387E7"/>
    <w:rsid w:val="39609686"/>
    <w:rsid w:val="3974095B"/>
    <w:rsid w:val="39AD74F5"/>
    <w:rsid w:val="39C30C17"/>
    <w:rsid w:val="3A8D16A5"/>
    <w:rsid w:val="3B2EB2D8"/>
    <w:rsid w:val="3B3BA32F"/>
    <w:rsid w:val="3B3F697A"/>
    <w:rsid w:val="3B742D4F"/>
    <w:rsid w:val="3B95F34C"/>
    <w:rsid w:val="3BDF68F9"/>
    <w:rsid w:val="3BF2B68E"/>
    <w:rsid w:val="3C53E77F"/>
    <w:rsid w:val="3C5E0458"/>
    <w:rsid w:val="3C7F6A75"/>
    <w:rsid w:val="3CB87053"/>
    <w:rsid w:val="3CF31483"/>
    <w:rsid w:val="3D22B682"/>
    <w:rsid w:val="3D3E9C86"/>
    <w:rsid w:val="3D4DBC91"/>
    <w:rsid w:val="3E321744"/>
    <w:rsid w:val="3E437913"/>
    <w:rsid w:val="3E91638D"/>
    <w:rsid w:val="3E921607"/>
    <w:rsid w:val="3EBA06B9"/>
    <w:rsid w:val="3ED79DB6"/>
    <w:rsid w:val="3EEDADE5"/>
    <w:rsid w:val="3F2E49E4"/>
    <w:rsid w:val="3FDC8BDC"/>
    <w:rsid w:val="4021F8D8"/>
    <w:rsid w:val="4038F736"/>
    <w:rsid w:val="4074B085"/>
    <w:rsid w:val="40B1884B"/>
    <w:rsid w:val="40F72572"/>
    <w:rsid w:val="410D3FEC"/>
    <w:rsid w:val="4131B836"/>
    <w:rsid w:val="415DC624"/>
    <w:rsid w:val="41F66D1D"/>
    <w:rsid w:val="4307C54A"/>
    <w:rsid w:val="43555BE7"/>
    <w:rsid w:val="435FF633"/>
    <w:rsid w:val="437FD6E7"/>
    <w:rsid w:val="44308F3A"/>
    <w:rsid w:val="4441D373"/>
    <w:rsid w:val="44773FCA"/>
    <w:rsid w:val="44A281C7"/>
    <w:rsid w:val="44DCCCBD"/>
    <w:rsid w:val="44EA613D"/>
    <w:rsid w:val="4522BECF"/>
    <w:rsid w:val="45CFC537"/>
    <w:rsid w:val="45D8C97B"/>
    <w:rsid w:val="45EC7EA4"/>
    <w:rsid w:val="45EF7904"/>
    <w:rsid w:val="467F0E1C"/>
    <w:rsid w:val="468598F0"/>
    <w:rsid w:val="46A5EFB6"/>
    <w:rsid w:val="46ACBDFF"/>
    <w:rsid w:val="46CAE2A4"/>
    <w:rsid w:val="46E20D67"/>
    <w:rsid w:val="471021D1"/>
    <w:rsid w:val="4723EAB1"/>
    <w:rsid w:val="473C3C83"/>
    <w:rsid w:val="47B4F2B5"/>
    <w:rsid w:val="47D5DB9D"/>
    <w:rsid w:val="47FE9897"/>
    <w:rsid w:val="48098A68"/>
    <w:rsid w:val="48731005"/>
    <w:rsid w:val="48A76223"/>
    <w:rsid w:val="4956906C"/>
    <w:rsid w:val="4983B9EE"/>
    <w:rsid w:val="499F174E"/>
    <w:rsid w:val="4A2F673C"/>
    <w:rsid w:val="4A96CD04"/>
    <w:rsid w:val="4AA527FF"/>
    <w:rsid w:val="4B6F55ED"/>
    <w:rsid w:val="4BA1EEA3"/>
    <w:rsid w:val="4BDCDED1"/>
    <w:rsid w:val="4BEE521E"/>
    <w:rsid w:val="4BF699F4"/>
    <w:rsid w:val="4C20A897"/>
    <w:rsid w:val="4C304A03"/>
    <w:rsid w:val="4C8CA590"/>
    <w:rsid w:val="4D1FF4ED"/>
    <w:rsid w:val="4D2ACC68"/>
    <w:rsid w:val="4D317920"/>
    <w:rsid w:val="4D600842"/>
    <w:rsid w:val="4D85020B"/>
    <w:rsid w:val="4DB3FA0C"/>
    <w:rsid w:val="4E4B0FF8"/>
    <w:rsid w:val="4EBE679E"/>
    <w:rsid w:val="4F07295C"/>
    <w:rsid w:val="4F0F7C46"/>
    <w:rsid w:val="4F141F30"/>
    <w:rsid w:val="4F4EEC43"/>
    <w:rsid w:val="4F74C9BE"/>
    <w:rsid w:val="506270C1"/>
    <w:rsid w:val="506C7D2B"/>
    <w:rsid w:val="50EE18E8"/>
    <w:rsid w:val="5125CCD5"/>
    <w:rsid w:val="51708BDA"/>
    <w:rsid w:val="51881E17"/>
    <w:rsid w:val="5192A030"/>
    <w:rsid w:val="52059AA1"/>
    <w:rsid w:val="52D6C567"/>
    <w:rsid w:val="52D6CC5F"/>
    <w:rsid w:val="52EAF4BD"/>
    <w:rsid w:val="52FFE06D"/>
    <w:rsid w:val="533A67E4"/>
    <w:rsid w:val="538EEB7F"/>
    <w:rsid w:val="53EBFDC3"/>
    <w:rsid w:val="543A8A5D"/>
    <w:rsid w:val="549F3DFF"/>
    <w:rsid w:val="54DAF893"/>
    <w:rsid w:val="5533AB46"/>
    <w:rsid w:val="55F7EFFD"/>
    <w:rsid w:val="560E0C47"/>
    <w:rsid w:val="562EB0C1"/>
    <w:rsid w:val="5646D259"/>
    <w:rsid w:val="568E5DAF"/>
    <w:rsid w:val="57070B92"/>
    <w:rsid w:val="5735C261"/>
    <w:rsid w:val="575C4B02"/>
    <w:rsid w:val="577C406F"/>
    <w:rsid w:val="57C118E5"/>
    <w:rsid w:val="57C8C0F1"/>
    <w:rsid w:val="5822E3C9"/>
    <w:rsid w:val="58302ED7"/>
    <w:rsid w:val="5844D885"/>
    <w:rsid w:val="584DD78A"/>
    <w:rsid w:val="585BF07A"/>
    <w:rsid w:val="5868A864"/>
    <w:rsid w:val="58785068"/>
    <w:rsid w:val="58D936D7"/>
    <w:rsid w:val="58E34DF7"/>
    <w:rsid w:val="598764DD"/>
    <w:rsid w:val="59961DA8"/>
    <w:rsid w:val="59DDAFC7"/>
    <w:rsid w:val="5A51DE47"/>
    <w:rsid w:val="5BCB3D54"/>
    <w:rsid w:val="5C01FCD7"/>
    <w:rsid w:val="5C28BF9A"/>
    <w:rsid w:val="5C3D9042"/>
    <w:rsid w:val="5C94DB70"/>
    <w:rsid w:val="5CB37D26"/>
    <w:rsid w:val="5CD9075D"/>
    <w:rsid w:val="5D76871A"/>
    <w:rsid w:val="5D95ECF9"/>
    <w:rsid w:val="5DF5B818"/>
    <w:rsid w:val="5E554E33"/>
    <w:rsid w:val="5E947A8F"/>
    <w:rsid w:val="5EB022D2"/>
    <w:rsid w:val="5EF12ECE"/>
    <w:rsid w:val="5F11DCCC"/>
    <w:rsid w:val="5F49755E"/>
    <w:rsid w:val="5F9CF762"/>
    <w:rsid w:val="5FA04017"/>
    <w:rsid w:val="5FA22BA5"/>
    <w:rsid w:val="5FEAE4C2"/>
    <w:rsid w:val="600CBAFC"/>
    <w:rsid w:val="600F901E"/>
    <w:rsid w:val="601918EA"/>
    <w:rsid w:val="60791C6F"/>
    <w:rsid w:val="60986E7A"/>
    <w:rsid w:val="60C1C860"/>
    <w:rsid w:val="60DA0215"/>
    <w:rsid w:val="60E495F8"/>
    <w:rsid w:val="611F894D"/>
    <w:rsid w:val="61CD0562"/>
    <w:rsid w:val="61F86691"/>
    <w:rsid w:val="62082392"/>
    <w:rsid w:val="62759633"/>
    <w:rsid w:val="62ABF73E"/>
    <w:rsid w:val="62CA30FB"/>
    <w:rsid w:val="630D4C9B"/>
    <w:rsid w:val="63172D61"/>
    <w:rsid w:val="6319A71F"/>
    <w:rsid w:val="639BFBBF"/>
    <w:rsid w:val="6488A24E"/>
    <w:rsid w:val="64B2954B"/>
    <w:rsid w:val="653F32A3"/>
    <w:rsid w:val="661319DC"/>
    <w:rsid w:val="66ACDF23"/>
    <w:rsid w:val="66EC1052"/>
    <w:rsid w:val="66ECEC58"/>
    <w:rsid w:val="680BA601"/>
    <w:rsid w:val="68551E4B"/>
    <w:rsid w:val="6922625F"/>
    <w:rsid w:val="698DE499"/>
    <w:rsid w:val="6A27BFAB"/>
    <w:rsid w:val="6A72A26F"/>
    <w:rsid w:val="6A91A237"/>
    <w:rsid w:val="6B43B7A7"/>
    <w:rsid w:val="6B9B8F0F"/>
    <w:rsid w:val="6BC2204A"/>
    <w:rsid w:val="6BE6FAC7"/>
    <w:rsid w:val="6C6D18BD"/>
    <w:rsid w:val="6C96140D"/>
    <w:rsid w:val="6C98F322"/>
    <w:rsid w:val="6CDB324A"/>
    <w:rsid w:val="6D0CEB8E"/>
    <w:rsid w:val="6D5043CD"/>
    <w:rsid w:val="6DB9AF17"/>
    <w:rsid w:val="6DC99371"/>
    <w:rsid w:val="6DE64FD7"/>
    <w:rsid w:val="6E29E1B4"/>
    <w:rsid w:val="6E3AE7D9"/>
    <w:rsid w:val="6E7E4CE9"/>
    <w:rsid w:val="6EBB8928"/>
    <w:rsid w:val="6EBC976A"/>
    <w:rsid w:val="6ED570BF"/>
    <w:rsid w:val="6F40DB12"/>
    <w:rsid w:val="6F435DB7"/>
    <w:rsid w:val="6F6C8557"/>
    <w:rsid w:val="6F6D0334"/>
    <w:rsid w:val="6F9549CF"/>
    <w:rsid w:val="6F9A572D"/>
    <w:rsid w:val="6F9A9D50"/>
    <w:rsid w:val="6FDF3E2F"/>
    <w:rsid w:val="703EF32C"/>
    <w:rsid w:val="70BB867A"/>
    <w:rsid w:val="70BDA02A"/>
    <w:rsid w:val="70DB9DC5"/>
    <w:rsid w:val="70EB668B"/>
    <w:rsid w:val="71814343"/>
    <w:rsid w:val="7254F03C"/>
    <w:rsid w:val="72614664"/>
    <w:rsid w:val="728D32A8"/>
    <w:rsid w:val="7392EAFB"/>
    <w:rsid w:val="73D0FDD7"/>
    <w:rsid w:val="741D930F"/>
    <w:rsid w:val="742C6E79"/>
    <w:rsid w:val="74427583"/>
    <w:rsid w:val="744FB7E4"/>
    <w:rsid w:val="7466C2A8"/>
    <w:rsid w:val="74AB18B6"/>
    <w:rsid w:val="74C6F562"/>
    <w:rsid w:val="74F18810"/>
    <w:rsid w:val="758CA113"/>
    <w:rsid w:val="75C4F5E5"/>
    <w:rsid w:val="75FF7444"/>
    <w:rsid w:val="760AF05E"/>
    <w:rsid w:val="76336454"/>
    <w:rsid w:val="7755C05B"/>
    <w:rsid w:val="77755272"/>
    <w:rsid w:val="777EE980"/>
    <w:rsid w:val="77C3AE2A"/>
    <w:rsid w:val="77C9A0B2"/>
    <w:rsid w:val="78B191A2"/>
    <w:rsid w:val="78E751CB"/>
    <w:rsid w:val="79486765"/>
    <w:rsid w:val="796E2BF2"/>
    <w:rsid w:val="79ED9827"/>
    <w:rsid w:val="7A82797E"/>
    <w:rsid w:val="7A8B2C17"/>
    <w:rsid w:val="7A90C691"/>
    <w:rsid w:val="7ABBEE7C"/>
    <w:rsid w:val="7AEDC474"/>
    <w:rsid w:val="7B7189AF"/>
    <w:rsid w:val="7B72C0D4"/>
    <w:rsid w:val="7B872637"/>
    <w:rsid w:val="7BCDA443"/>
    <w:rsid w:val="7C1F8333"/>
    <w:rsid w:val="7C48B90B"/>
    <w:rsid w:val="7C5B391D"/>
    <w:rsid w:val="7CA1E5D1"/>
    <w:rsid w:val="7CDF9317"/>
    <w:rsid w:val="7D45E9B6"/>
    <w:rsid w:val="7E7C0EAA"/>
    <w:rsid w:val="7EDE766E"/>
    <w:rsid w:val="7F7961F1"/>
    <w:rsid w:val="7F9225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B52B"/>
  <w15:chartTrackingRefBased/>
  <w15:docId w15:val="{B5A2CE55-9AE9-48E7-AE23-4CC44F4B69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60197"/>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60197"/>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rsid w:val="00160372"/>
    <w:pPr>
      <w:ind w:left="720"/>
      <w:contextualSpacing/>
    </w:pPr>
  </w:style>
  <w:style w:type="table" w:styleId="TableGrid">
    <w:name w:val="Table Grid"/>
    <w:basedOn w:val="TableNormal"/>
    <w:uiPriority w:val="39"/>
    <w:rsid w:val="00EA4C9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okTitle">
    <w:name w:val="Book Title"/>
    <w:basedOn w:val="DefaultParagraphFont"/>
    <w:uiPriority w:val="33"/>
    <w:qFormat/>
    <w:rsid w:val="00121816"/>
    <w:rPr>
      <w:b/>
      <w:bCs/>
      <w:i/>
      <w:iCs/>
      <w:spacing w:val="5"/>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sid w:val="005D3D87"/>
    <w:rPr>
      <w:color w:val="0563C1" w:themeColor="hyperlink"/>
      <w:u w:val="single"/>
    </w:rPr>
  </w:style>
  <w:style w:type="character" w:styleId="UnresolvedMention">
    <w:name w:val="Unresolved Mention"/>
    <w:basedOn w:val="DefaultParagraphFont"/>
    <w:uiPriority w:val="99"/>
    <w:semiHidden/>
    <w:unhideWhenUsed/>
    <w:rsid w:val="005D3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gatsbybenchmarks.org.uk/app/uploads/2024/11/good-career-guidance-the-next-10-years-report.pdf"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uk/government/publications/careers-guidance-provision-for-young-people-in-schools/careers-guidance-and-access-for-education-and-training-providers"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image" Target="/media/image2.png" Id="rId175777100" /><Relationship Type="http://schemas.openxmlformats.org/officeDocument/2006/relationships/image" Target="/media/image3.png" Id="rId777474971" /><Relationship Type="http://schemas.openxmlformats.org/officeDocument/2006/relationships/image" Target="/media/image4.png" Id="rId402232618" /><Relationship Type="http://schemas.openxmlformats.org/officeDocument/2006/relationships/image" Target="/media/image5.png" Id="rId297905091" /><Relationship Type="http://schemas.openxmlformats.org/officeDocument/2006/relationships/image" Target="/media/image6.png" Id="rId851694977" /><Relationship Type="http://schemas.openxmlformats.org/officeDocument/2006/relationships/image" Target="/media/image7.png" Id="rId1199371666" /><Relationship Type="http://schemas.openxmlformats.org/officeDocument/2006/relationships/image" Target="/media/image8.png" Id="rId42047804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16677e-08ed-4ddf-9612-edb0c0ecbb79">
      <Terms xmlns="http://schemas.microsoft.com/office/infopath/2007/PartnerControls"/>
    </lcf76f155ced4ddcb4097134ff3c332f>
    <TaxCatchAll xmlns="46816139-22c8-4e38-9e5f-672c997ceb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CB275C97D2484097813571DFBDCD66" ma:contentTypeVersion="16" ma:contentTypeDescription="Create a new document." ma:contentTypeScope="" ma:versionID="f437c42165366974dad0f448d34d28b3">
  <xsd:schema xmlns:xsd="http://www.w3.org/2001/XMLSchema" xmlns:xs="http://www.w3.org/2001/XMLSchema" xmlns:p="http://schemas.microsoft.com/office/2006/metadata/properties" xmlns:ns2="6716677e-08ed-4ddf-9612-edb0c0ecbb79" xmlns:ns3="46816139-22c8-4e38-9e5f-672c997cebb9" targetNamespace="http://schemas.microsoft.com/office/2006/metadata/properties" ma:root="true" ma:fieldsID="cf70dcc8f032d26d37d9d268e84dc8ad" ns2:_="" ns3:_="">
    <xsd:import namespace="6716677e-08ed-4ddf-9612-edb0c0ecbb79"/>
    <xsd:import namespace="46816139-22c8-4e38-9e5f-672c997ceb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6677e-08ed-4ddf-9612-edb0c0ecb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61d7cad-c5e6-43ca-8ba0-310615c959b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816139-22c8-4e38-9e5f-672c997cebb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be1bd0-c6ed-4224-843b-ba8035656981}" ma:internalName="TaxCatchAll" ma:showField="CatchAllData" ma:web="46816139-22c8-4e38-9e5f-672c997ceb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DD2CFA-F0C6-4762-BAEE-B62B0A84E500}">
  <ds:schemaRefs>
    <ds:schemaRef ds:uri="http://www.w3.org/XML/1998/namespace"/>
    <ds:schemaRef ds:uri="http://schemas.microsoft.com/office/2006/metadata/properties"/>
    <ds:schemaRef ds:uri="http://purl.org/dc/terms/"/>
    <ds:schemaRef ds:uri="http://purl.org/dc/elements/1.1/"/>
    <ds:schemaRef ds:uri="http://purl.org/dc/dcmitype/"/>
    <ds:schemaRef ds:uri="http://schemas.microsoft.com/office/infopath/2007/PartnerControls"/>
    <ds:schemaRef ds:uri="02419502-3473-47ba-9859-e0e2f641f5ac"/>
    <ds:schemaRef ds:uri="http://schemas.microsoft.com/office/2006/documentManagement/types"/>
    <ds:schemaRef ds:uri="http://schemas.openxmlformats.org/package/2006/metadata/core-properties"/>
    <ds:schemaRef ds:uri="faa1e364-6c56-47f2-934b-83a4f0a27c24"/>
    <ds:schemaRef ds:uri="http://schemas.microsoft.com/sharepoint/v3"/>
  </ds:schemaRefs>
</ds:datastoreItem>
</file>

<file path=customXml/itemProps2.xml><?xml version="1.0" encoding="utf-8"?>
<ds:datastoreItem xmlns:ds="http://schemas.openxmlformats.org/officeDocument/2006/customXml" ds:itemID="{5820608F-25FD-4DA6-858F-D22BC7FC38FF}">
  <ds:schemaRefs>
    <ds:schemaRef ds:uri="http://schemas.microsoft.com/sharepoint/v3/contenttype/forms"/>
  </ds:schemaRefs>
</ds:datastoreItem>
</file>

<file path=customXml/itemProps3.xml><?xml version="1.0" encoding="utf-8"?>
<ds:datastoreItem xmlns:ds="http://schemas.openxmlformats.org/officeDocument/2006/customXml" ds:itemID="{8BCF39DF-4900-4FE4-99DD-CC7D81C5514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Dark</dc:creator>
  <cp:keywords/>
  <dc:description/>
  <cp:lastModifiedBy>Elizabeth Dark</cp:lastModifiedBy>
  <cp:revision>4</cp:revision>
  <dcterms:created xsi:type="dcterms:W3CDTF">2025-07-22T11:10:00Z</dcterms:created>
  <dcterms:modified xsi:type="dcterms:W3CDTF">2025-10-14T11:21:22Z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0x010100A2CB275C97D2484097813571DFBDCD66</vt:lpwstr>
  </property>
  <property fmtid="{D5CDD505-2E9C-101B-9397-08002B2CF9AE}" pid="3" name="MediaServiceImageTags">
    <vt:lpwstr/>
  </property>
  <property fmtid="{D5CDD505-2E9C-101B-9397-08002B2CF9AE}" pid="4" name="_ExtendedDescription">
    <vt:lpwstr/>
  </property>
</Properties>
</file>