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43CB2" w14:textId="622085BA" w:rsidR="004C1F29" w:rsidRDefault="004C1F29" w:rsidP="002A1068">
      <w:pPr>
        <w:autoSpaceDE w:val="0"/>
        <w:autoSpaceDN w:val="0"/>
        <w:adjustRightInd w:val="0"/>
        <w:spacing w:line="240" w:lineRule="auto"/>
        <w:rPr>
          <w:rFonts w:cstheme="minorHAnsi"/>
          <w:b/>
          <w:bCs/>
          <w:color w:val="000000"/>
          <w:u w:val="single"/>
        </w:rPr>
      </w:pPr>
      <w:r w:rsidRPr="00043F4B">
        <w:rPr>
          <w:rFonts w:cstheme="minorHAnsi"/>
          <w:b/>
          <w:bCs/>
          <w:color w:val="000000"/>
          <w:u w:val="single"/>
        </w:rPr>
        <w:t xml:space="preserve">Post Results </w:t>
      </w:r>
      <w:r w:rsidR="002A1068">
        <w:rPr>
          <w:rFonts w:cstheme="minorHAnsi"/>
          <w:b/>
          <w:bCs/>
          <w:color w:val="000000"/>
          <w:u w:val="single"/>
        </w:rPr>
        <w:t xml:space="preserve">Services </w:t>
      </w:r>
      <w:r w:rsidRPr="00043F4B">
        <w:rPr>
          <w:rFonts w:cstheme="minorHAnsi"/>
          <w:b/>
          <w:bCs/>
          <w:color w:val="000000"/>
          <w:u w:val="single"/>
        </w:rPr>
        <w:t>Information 20</w:t>
      </w:r>
      <w:r w:rsidR="008372EA">
        <w:rPr>
          <w:rFonts w:cstheme="minorHAnsi"/>
          <w:b/>
          <w:bCs/>
          <w:color w:val="000000"/>
          <w:u w:val="single"/>
        </w:rPr>
        <w:t>22</w:t>
      </w:r>
    </w:p>
    <w:p w14:paraId="33E95281" w14:textId="77777777" w:rsidR="009760FD" w:rsidRPr="00F03A48" w:rsidRDefault="009760FD" w:rsidP="002A1068">
      <w:pPr>
        <w:autoSpaceDE w:val="0"/>
        <w:autoSpaceDN w:val="0"/>
        <w:adjustRightInd w:val="0"/>
        <w:spacing w:line="240" w:lineRule="auto"/>
        <w:rPr>
          <w:rFonts w:cstheme="minorHAnsi"/>
          <w:bCs/>
          <w:color w:val="000000"/>
        </w:rPr>
      </w:pPr>
      <w:r w:rsidRPr="00F03A48">
        <w:rPr>
          <w:rFonts w:cstheme="minorHAnsi"/>
          <w:bCs/>
          <w:color w:val="000000"/>
        </w:rPr>
        <w:t>For a full explanation of the post results services please refer to the JCQ Post Results Services Booklet – available on t</w:t>
      </w:r>
      <w:r w:rsidR="002A1068" w:rsidRPr="00F03A48">
        <w:rPr>
          <w:rFonts w:cstheme="minorHAnsi"/>
          <w:bCs/>
          <w:color w:val="000000"/>
        </w:rPr>
        <w:t xml:space="preserve">he Student Portal or on WisePay or visit </w:t>
      </w:r>
      <w:hyperlink r:id="rId4" w:history="1">
        <w:r w:rsidR="002A0A21">
          <w:rPr>
            <w:rStyle w:val="Hyperlink"/>
          </w:rPr>
          <w:t>https://www.jcq.org.uk/exams-office/post-results-services</w:t>
        </w:r>
      </w:hyperlink>
    </w:p>
    <w:p w14:paraId="190EF08A" w14:textId="77777777" w:rsidR="00EA1348" w:rsidRPr="009760FD" w:rsidRDefault="004C1F29" w:rsidP="00EA1348">
      <w:pPr>
        <w:autoSpaceDE w:val="0"/>
        <w:autoSpaceDN w:val="0"/>
        <w:adjustRightInd w:val="0"/>
        <w:spacing w:after="0" w:line="240" w:lineRule="auto"/>
        <w:rPr>
          <w:rFonts w:cstheme="minorHAnsi"/>
          <w:b/>
          <w:color w:val="000000"/>
        </w:rPr>
      </w:pPr>
      <w:r w:rsidRPr="009760FD">
        <w:rPr>
          <w:rFonts w:cstheme="minorHAnsi"/>
          <w:b/>
          <w:color w:val="000000"/>
        </w:rPr>
        <w:t>Key</w:t>
      </w:r>
      <w:r w:rsidR="00EA1348" w:rsidRPr="009760FD">
        <w:rPr>
          <w:rFonts w:cstheme="minorHAnsi"/>
          <w:b/>
          <w:color w:val="000000"/>
        </w:rPr>
        <w:t xml:space="preserve"> dates and deadlines (internal)</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2835"/>
        <w:gridCol w:w="1139"/>
        <w:gridCol w:w="1984"/>
      </w:tblGrid>
      <w:tr w:rsidR="00D07C4F" w:rsidRPr="009760FD" w14:paraId="79A9E6D7" w14:textId="77777777" w:rsidTr="004B2095">
        <w:trPr>
          <w:trHeight w:val="413"/>
        </w:trPr>
        <w:tc>
          <w:tcPr>
            <w:tcW w:w="4390" w:type="dxa"/>
            <w:vAlign w:val="center"/>
          </w:tcPr>
          <w:p w14:paraId="6D2E9128" w14:textId="77777777" w:rsidR="00D07C4F" w:rsidRPr="009760FD" w:rsidRDefault="00D07C4F" w:rsidP="00EA1348">
            <w:pPr>
              <w:autoSpaceDE w:val="0"/>
              <w:autoSpaceDN w:val="0"/>
              <w:adjustRightInd w:val="0"/>
              <w:spacing w:after="0" w:line="240" w:lineRule="auto"/>
              <w:rPr>
                <w:rFonts w:cstheme="minorHAnsi"/>
                <w:b/>
              </w:rPr>
            </w:pPr>
            <w:r w:rsidRPr="009760FD">
              <w:rPr>
                <w:rFonts w:cstheme="minorHAnsi"/>
                <w:b/>
                <w:bCs/>
              </w:rPr>
              <w:t>Request</w:t>
            </w:r>
          </w:p>
        </w:tc>
        <w:tc>
          <w:tcPr>
            <w:tcW w:w="2835" w:type="dxa"/>
            <w:vAlign w:val="center"/>
          </w:tcPr>
          <w:p w14:paraId="2E83A01F" w14:textId="77777777" w:rsidR="00D07C4F" w:rsidRPr="009760FD" w:rsidRDefault="00D07C4F" w:rsidP="00EA1348">
            <w:pPr>
              <w:autoSpaceDE w:val="0"/>
              <w:autoSpaceDN w:val="0"/>
              <w:adjustRightInd w:val="0"/>
              <w:spacing w:after="0" w:line="240" w:lineRule="auto"/>
              <w:rPr>
                <w:rFonts w:cstheme="minorHAnsi"/>
                <w:b/>
              </w:rPr>
            </w:pPr>
            <w:r w:rsidRPr="009760FD">
              <w:rPr>
                <w:rFonts w:cstheme="minorHAnsi"/>
                <w:b/>
                <w:bCs/>
              </w:rPr>
              <w:t>Deadline</w:t>
            </w:r>
          </w:p>
        </w:tc>
        <w:tc>
          <w:tcPr>
            <w:tcW w:w="1139" w:type="dxa"/>
            <w:vAlign w:val="center"/>
          </w:tcPr>
          <w:p w14:paraId="0AA29105" w14:textId="77777777" w:rsidR="00D07C4F" w:rsidRPr="009760FD" w:rsidRDefault="00D07C4F" w:rsidP="00EA1348">
            <w:pPr>
              <w:autoSpaceDE w:val="0"/>
              <w:autoSpaceDN w:val="0"/>
              <w:adjustRightInd w:val="0"/>
              <w:spacing w:after="0" w:line="240" w:lineRule="auto"/>
              <w:rPr>
                <w:rFonts w:cstheme="minorHAnsi"/>
                <w:b/>
              </w:rPr>
            </w:pPr>
            <w:r w:rsidRPr="009760FD">
              <w:rPr>
                <w:rFonts w:cstheme="minorHAnsi"/>
                <w:b/>
                <w:bCs/>
              </w:rPr>
              <w:t>Cost</w:t>
            </w:r>
          </w:p>
        </w:tc>
        <w:tc>
          <w:tcPr>
            <w:tcW w:w="1984" w:type="dxa"/>
            <w:vAlign w:val="center"/>
          </w:tcPr>
          <w:p w14:paraId="19A2126F" w14:textId="77777777" w:rsidR="00D07C4F" w:rsidRPr="009760FD" w:rsidRDefault="00D07C4F" w:rsidP="00D07C4F">
            <w:pPr>
              <w:autoSpaceDE w:val="0"/>
              <w:autoSpaceDN w:val="0"/>
              <w:adjustRightInd w:val="0"/>
              <w:spacing w:after="0" w:line="240" w:lineRule="auto"/>
              <w:rPr>
                <w:rFonts w:cstheme="minorHAnsi"/>
                <w:b/>
                <w:bCs/>
              </w:rPr>
            </w:pPr>
            <w:r>
              <w:rPr>
                <w:rFonts w:cstheme="minorHAnsi"/>
                <w:b/>
                <w:bCs/>
              </w:rPr>
              <w:t>Received by</w:t>
            </w:r>
          </w:p>
        </w:tc>
      </w:tr>
      <w:tr w:rsidR="00D07C4F" w:rsidRPr="009760FD" w14:paraId="666001C8" w14:textId="77777777" w:rsidTr="004B2095">
        <w:trPr>
          <w:trHeight w:val="413"/>
        </w:trPr>
        <w:tc>
          <w:tcPr>
            <w:tcW w:w="4390" w:type="dxa"/>
            <w:vAlign w:val="center"/>
          </w:tcPr>
          <w:p w14:paraId="0609C0FE" w14:textId="77777777" w:rsidR="00D07C4F" w:rsidRDefault="00D07C4F" w:rsidP="002A0A21">
            <w:pPr>
              <w:autoSpaceDE w:val="0"/>
              <w:autoSpaceDN w:val="0"/>
              <w:adjustRightInd w:val="0"/>
              <w:spacing w:after="0" w:line="240" w:lineRule="auto"/>
              <w:rPr>
                <w:rFonts w:cstheme="minorHAnsi"/>
              </w:rPr>
            </w:pPr>
            <w:r w:rsidRPr="00F76E67">
              <w:rPr>
                <w:rFonts w:cstheme="minorHAnsi"/>
              </w:rPr>
              <w:t xml:space="preserve">Priority Review of </w:t>
            </w:r>
            <w:r>
              <w:rPr>
                <w:rFonts w:cstheme="minorHAnsi"/>
              </w:rPr>
              <w:t xml:space="preserve">Results </w:t>
            </w:r>
          </w:p>
          <w:p w14:paraId="3F3D7F8E" w14:textId="77777777" w:rsidR="00D07C4F" w:rsidRPr="00F76E67" w:rsidRDefault="00D07C4F" w:rsidP="002A0A21">
            <w:pPr>
              <w:autoSpaceDE w:val="0"/>
              <w:autoSpaceDN w:val="0"/>
              <w:adjustRightInd w:val="0"/>
              <w:spacing w:after="0" w:line="240" w:lineRule="auto"/>
              <w:rPr>
                <w:rFonts w:cstheme="minorHAnsi"/>
              </w:rPr>
            </w:pPr>
            <w:r>
              <w:rPr>
                <w:rFonts w:ascii="Helvetica" w:hAnsi="Helvetica" w:cs="Helvetica"/>
                <w:color w:val="4C4C4B"/>
                <w:sz w:val="20"/>
                <w:szCs w:val="20"/>
                <w:shd w:val="clear" w:color="auto" w:fill="FFFFFF"/>
              </w:rPr>
              <w:t>e.g. university place pending (AS and A-level)</w:t>
            </w:r>
          </w:p>
        </w:tc>
        <w:tc>
          <w:tcPr>
            <w:tcW w:w="2835" w:type="dxa"/>
            <w:vAlign w:val="center"/>
          </w:tcPr>
          <w:p w14:paraId="355335AA" w14:textId="375C37BC" w:rsidR="00D07C4F" w:rsidRPr="00F76E67" w:rsidRDefault="008372EA" w:rsidP="002A0A21">
            <w:pPr>
              <w:autoSpaceDE w:val="0"/>
              <w:autoSpaceDN w:val="0"/>
              <w:adjustRightInd w:val="0"/>
              <w:spacing w:after="0" w:line="240" w:lineRule="auto"/>
              <w:rPr>
                <w:rFonts w:cstheme="minorHAnsi"/>
              </w:rPr>
            </w:pPr>
            <w:r>
              <w:rPr>
                <w:rFonts w:cstheme="minorHAnsi"/>
              </w:rPr>
              <w:t>2</w:t>
            </w:r>
            <w:r w:rsidR="00A52A7C">
              <w:rPr>
                <w:rFonts w:cstheme="minorHAnsi"/>
              </w:rPr>
              <w:t>2</w:t>
            </w:r>
            <w:r w:rsidR="00A52A7C" w:rsidRPr="00A52A7C">
              <w:rPr>
                <w:rFonts w:cstheme="minorHAnsi"/>
                <w:vertAlign w:val="superscript"/>
              </w:rPr>
              <w:t>nd</w:t>
            </w:r>
            <w:r w:rsidR="00A52A7C">
              <w:rPr>
                <w:rFonts w:cstheme="minorHAnsi"/>
              </w:rPr>
              <w:t xml:space="preserve"> </w:t>
            </w:r>
            <w:r>
              <w:rPr>
                <w:rFonts w:cstheme="minorHAnsi"/>
              </w:rPr>
              <w:t>August 2022</w:t>
            </w:r>
          </w:p>
        </w:tc>
        <w:tc>
          <w:tcPr>
            <w:tcW w:w="1139" w:type="dxa"/>
            <w:vAlign w:val="center"/>
          </w:tcPr>
          <w:p w14:paraId="543E94BF" w14:textId="4C289098" w:rsidR="00D07C4F" w:rsidRPr="00F76E67" w:rsidRDefault="00D07C4F" w:rsidP="00D97BBC">
            <w:pPr>
              <w:autoSpaceDE w:val="0"/>
              <w:autoSpaceDN w:val="0"/>
              <w:adjustRightInd w:val="0"/>
              <w:spacing w:after="0" w:line="240" w:lineRule="auto"/>
              <w:rPr>
                <w:rFonts w:cstheme="minorHAnsi"/>
              </w:rPr>
            </w:pPr>
            <w:r w:rsidRPr="00F76E67">
              <w:rPr>
                <w:rFonts w:cstheme="minorHAnsi"/>
              </w:rPr>
              <w:t>£</w:t>
            </w:r>
            <w:r w:rsidR="005F253E">
              <w:rPr>
                <w:rFonts w:cstheme="minorHAnsi"/>
              </w:rPr>
              <w:t>60</w:t>
            </w:r>
            <w:r w:rsidRPr="00F76E67">
              <w:rPr>
                <w:rFonts w:cstheme="minorHAnsi"/>
              </w:rPr>
              <w:t>.00</w:t>
            </w:r>
          </w:p>
        </w:tc>
        <w:tc>
          <w:tcPr>
            <w:tcW w:w="1984" w:type="dxa"/>
            <w:vAlign w:val="center"/>
          </w:tcPr>
          <w:p w14:paraId="7FDD42FE" w14:textId="77777777" w:rsidR="00D07C4F" w:rsidRPr="00F76E67" w:rsidRDefault="00D07C4F" w:rsidP="00D07C4F">
            <w:pPr>
              <w:autoSpaceDE w:val="0"/>
              <w:autoSpaceDN w:val="0"/>
              <w:adjustRightInd w:val="0"/>
              <w:spacing w:after="0" w:line="240" w:lineRule="auto"/>
              <w:rPr>
                <w:rFonts w:cstheme="minorHAnsi"/>
              </w:rPr>
            </w:pPr>
            <w:r>
              <w:rPr>
                <w:rFonts w:cstheme="minorHAnsi"/>
              </w:rPr>
              <w:t>15 calendar days</w:t>
            </w:r>
          </w:p>
        </w:tc>
      </w:tr>
      <w:tr w:rsidR="00D07C4F" w:rsidRPr="009760FD" w14:paraId="60185F26" w14:textId="77777777" w:rsidTr="004B2095">
        <w:trPr>
          <w:trHeight w:val="413"/>
        </w:trPr>
        <w:tc>
          <w:tcPr>
            <w:tcW w:w="4390" w:type="dxa"/>
            <w:vAlign w:val="center"/>
          </w:tcPr>
          <w:p w14:paraId="0C314B13" w14:textId="77777777" w:rsidR="00D07C4F" w:rsidRDefault="00D07C4F" w:rsidP="00EA1348">
            <w:pPr>
              <w:autoSpaceDE w:val="0"/>
              <w:autoSpaceDN w:val="0"/>
              <w:adjustRightInd w:val="0"/>
              <w:spacing w:after="0" w:line="240" w:lineRule="auto"/>
              <w:rPr>
                <w:rFonts w:cstheme="minorHAnsi"/>
              </w:rPr>
            </w:pPr>
            <w:r w:rsidRPr="00F76E67">
              <w:rPr>
                <w:rFonts w:cstheme="minorHAnsi"/>
              </w:rPr>
              <w:t>Priority Photocopy of Script</w:t>
            </w:r>
          </w:p>
          <w:p w14:paraId="5A19BD37" w14:textId="77777777" w:rsidR="004B2095" w:rsidRPr="00F76E67" w:rsidRDefault="004B2095" w:rsidP="00EA1348">
            <w:pPr>
              <w:autoSpaceDE w:val="0"/>
              <w:autoSpaceDN w:val="0"/>
              <w:adjustRightInd w:val="0"/>
              <w:spacing w:after="0" w:line="240" w:lineRule="auto"/>
              <w:rPr>
                <w:rFonts w:cstheme="minorHAnsi"/>
              </w:rPr>
            </w:pPr>
            <w:r>
              <w:rPr>
                <w:rFonts w:ascii="Helvetica" w:hAnsi="Helvetica" w:cs="Helvetica"/>
                <w:color w:val="4C4C4B"/>
                <w:sz w:val="20"/>
                <w:szCs w:val="20"/>
                <w:shd w:val="clear" w:color="auto" w:fill="FFFFFF"/>
              </w:rPr>
              <w:t> to decide next steps (AS and A-level)</w:t>
            </w:r>
          </w:p>
        </w:tc>
        <w:tc>
          <w:tcPr>
            <w:tcW w:w="2835" w:type="dxa"/>
            <w:vAlign w:val="center"/>
          </w:tcPr>
          <w:p w14:paraId="287CD25B" w14:textId="3F0F44DE" w:rsidR="00D07C4F" w:rsidRPr="00F76E67" w:rsidRDefault="008372EA" w:rsidP="002A0A21">
            <w:pPr>
              <w:autoSpaceDE w:val="0"/>
              <w:autoSpaceDN w:val="0"/>
              <w:adjustRightInd w:val="0"/>
              <w:spacing w:after="0" w:line="240" w:lineRule="auto"/>
              <w:rPr>
                <w:rFonts w:cstheme="minorHAnsi"/>
              </w:rPr>
            </w:pPr>
            <w:r>
              <w:rPr>
                <w:rFonts w:cstheme="minorHAnsi"/>
              </w:rPr>
              <w:t>2</w:t>
            </w:r>
            <w:r w:rsidR="00A52A7C">
              <w:rPr>
                <w:rFonts w:cstheme="minorHAnsi"/>
              </w:rPr>
              <w:t>2</w:t>
            </w:r>
            <w:r w:rsidR="00A52A7C" w:rsidRPr="00A52A7C">
              <w:rPr>
                <w:rFonts w:cstheme="minorHAnsi"/>
                <w:vertAlign w:val="superscript"/>
              </w:rPr>
              <w:t>nd</w:t>
            </w:r>
            <w:r>
              <w:rPr>
                <w:rFonts w:cstheme="minorHAnsi"/>
              </w:rPr>
              <w:t xml:space="preserve"> August 2022</w:t>
            </w:r>
          </w:p>
        </w:tc>
        <w:tc>
          <w:tcPr>
            <w:tcW w:w="1139" w:type="dxa"/>
            <w:vAlign w:val="center"/>
          </w:tcPr>
          <w:p w14:paraId="579EABB3" w14:textId="1422889C" w:rsidR="00D07C4F" w:rsidRPr="00F76E67" w:rsidRDefault="00D07C4F" w:rsidP="00EA1348">
            <w:pPr>
              <w:autoSpaceDE w:val="0"/>
              <w:autoSpaceDN w:val="0"/>
              <w:adjustRightInd w:val="0"/>
              <w:spacing w:after="0" w:line="240" w:lineRule="auto"/>
              <w:rPr>
                <w:rFonts w:cstheme="minorHAnsi"/>
              </w:rPr>
            </w:pPr>
            <w:r w:rsidRPr="00F76E67">
              <w:rPr>
                <w:rFonts w:cstheme="minorHAnsi"/>
              </w:rPr>
              <w:t>£</w:t>
            </w:r>
            <w:r w:rsidR="008372EA">
              <w:rPr>
                <w:rFonts w:cstheme="minorHAnsi"/>
              </w:rPr>
              <w:t>20</w:t>
            </w:r>
            <w:r w:rsidRPr="00F76E67">
              <w:rPr>
                <w:rFonts w:cstheme="minorHAnsi"/>
              </w:rPr>
              <w:t>.00</w:t>
            </w:r>
          </w:p>
        </w:tc>
        <w:tc>
          <w:tcPr>
            <w:tcW w:w="1984" w:type="dxa"/>
            <w:vAlign w:val="center"/>
          </w:tcPr>
          <w:p w14:paraId="7D2DC62B" w14:textId="77777777" w:rsidR="00D07C4F" w:rsidRPr="00F76E67" w:rsidRDefault="00D07C4F" w:rsidP="00D07C4F">
            <w:pPr>
              <w:autoSpaceDE w:val="0"/>
              <w:autoSpaceDN w:val="0"/>
              <w:adjustRightInd w:val="0"/>
              <w:spacing w:after="0" w:line="240" w:lineRule="auto"/>
              <w:rPr>
                <w:rFonts w:cstheme="minorHAnsi"/>
              </w:rPr>
            </w:pPr>
            <w:r>
              <w:rPr>
                <w:rFonts w:cstheme="minorHAnsi"/>
              </w:rPr>
              <w:t>5</w:t>
            </w:r>
            <w:r w:rsidRPr="00D07C4F">
              <w:rPr>
                <w:rFonts w:cstheme="minorHAnsi"/>
                <w:vertAlign w:val="superscript"/>
              </w:rPr>
              <w:t>th</w:t>
            </w:r>
            <w:r>
              <w:rPr>
                <w:rFonts w:cstheme="minorHAnsi"/>
              </w:rPr>
              <w:t xml:space="preserve"> September</w:t>
            </w:r>
          </w:p>
        </w:tc>
      </w:tr>
      <w:tr w:rsidR="00D07C4F" w:rsidRPr="009760FD" w14:paraId="705EF3EC" w14:textId="77777777" w:rsidTr="004B2095">
        <w:trPr>
          <w:trHeight w:val="413"/>
        </w:trPr>
        <w:tc>
          <w:tcPr>
            <w:tcW w:w="4390" w:type="dxa"/>
            <w:vAlign w:val="center"/>
          </w:tcPr>
          <w:p w14:paraId="220714A4" w14:textId="77777777" w:rsidR="00D07C4F" w:rsidRPr="00F76E67" w:rsidRDefault="00D07C4F" w:rsidP="00D07C4F">
            <w:pPr>
              <w:autoSpaceDE w:val="0"/>
              <w:autoSpaceDN w:val="0"/>
              <w:adjustRightInd w:val="0"/>
              <w:spacing w:after="0" w:line="240" w:lineRule="auto"/>
              <w:rPr>
                <w:rFonts w:cstheme="minorHAnsi"/>
              </w:rPr>
            </w:pPr>
            <w:r w:rsidRPr="00F76E67">
              <w:rPr>
                <w:rFonts w:cstheme="minorHAnsi"/>
              </w:rPr>
              <w:t xml:space="preserve">Standard Review of </w:t>
            </w:r>
            <w:r>
              <w:rPr>
                <w:rFonts w:cstheme="minorHAnsi"/>
              </w:rPr>
              <w:t>Results</w:t>
            </w:r>
            <w:r w:rsidR="004B2095">
              <w:rPr>
                <w:rFonts w:cstheme="minorHAnsi"/>
              </w:rPr>
              <w:t xml:space="preserve"> (service 2)</w:t>
            </w:r>
          </w:p>
        </w:tc>
        <w:tc>
          <w:tcPr>
            <w:tcW w:w="2835" w:type="dxa"/>
            <w:vAlign w:val="center"/>
          </w:tcPr>
          <w:p w14:paraId="04AF9745" w14:textId="4DAC8262" w:rsidR="00D07C4F" w:rsidRPr="00F76E67" w:rsidRDefault="002D70C8" w:rsidP="00D07C4F">
            <w:pPr>
              <w:autoSpaceDE w:val="0"/>
              <w:autoSpaceDN w:val="0"/>
              <w:adjustRightInd w:val="0"/>
              <w:spacing w:after="0" w:line="240" w:lineRule="auto"/>
              <w:rPr>
                <w:rFonts w:cstheme="minorHAnsi"/>
              </w:rPr>
            </w:pPr>
            <w:r>
              <w:rPr>
                <w:rFonts w:cstheme="minorHAnsi"/>
              </w:rPr>
              <w:t>16</w:t>
            </w:r>
            <w:r w:rsidRPr="002D70C8">
              <w:rPr>
                <w:rFonts w:cstheme="minorHAnsi"/>
                <w:vertAlign w:val="superscript"/>
              </w:rPr>
              <w:t>th</w:t>
            </w:r>
            <w:r>
              <w:rPr>
                <w:rFonts w:cstheme="minorHAnsi"/>
              </w:rPr>
              <w:t xml:space="preserve"> </w:t>
            </w:r>
            <w:r w:rsidR="008372EA">
              <w:rPr>
                <w:rFonts w:cstheme="minorHAnsi"/>
              </w:rPr>
              <w:t>September 2022</w:t>
            </w:r>
          </w:p>
        </w:tc>
        <w:tc>
          <w:tcPr>
            <w:tcW w:w="1139" w:type="dxa"/>
            <w:vAlign w:val="center"/>
          </w:tcPr>
          <w:p w14:paraId="5F4AF4AD" w14:textId="32DE0702" w:rsidR="00D07C4F" w:rsidRPr="00F76E67" w:rsidRDefault="00D07C4F" w:rsidP="00D97BBC">
            <w:pPr>
              <w:autoSpaceDE w:val="0"/>
              <w:autoSpaceDN w:val="0"/>
              <w:adjustRightInd w:val="0"/>
              <w:spacing w:after="0" w:line="240" w:lineRule="auto"/>
              <w:rPr>
                <w:rFonts w:cstheme="minorHAnsi"/>
              </w:rPr>
            </w:pPr>
            <w:r w:rsidRPr="00F76E67">
              <w:rPr>
                <w:rFonts w:cstheme="minorHAnsi"/>
              </w:rPr>
              <w:t>£</w:t>
            </w:r>
            <w:r w:rsidR="005F253E">
              <w:rPr>
                <w:rFonts w:cstheme="minorHAnsi"/>
              </w:rPr>
              <w:t>55</w:t>
            </w:r>
            <w:r w:rsidRPr="00F76E67">
              <w:rPr>
                <w:rFonts w:cstheme="minorHAnsi"/>
              </w:rPr>
              <w:t>.00</w:t>
            </w:r>
          </w:p>
        </w:tc>
        <w:tc>
          <w:tcPr>
            <w:tcW w:w="1984" w:type="dxa"/>
            <w:vAlign w:val="center"/>
          </w:tcPr>
          <w:p w14:paraId="59997D0B" w14:textId="77777777" w:rsidR="00D07C4F" w:rsidRPr="00F76E67" w:rsidRDefault="00D07C4F" w:rsidP="00D07C4F">
            <w:pPr>
              <w:autoSpaceDE w:val="0"/>
              <w:autoSpaceDN w:val="0"/>
              <w:adjustRightInd w:val="0"/>
              <w:spacing w:after="0" w:line="240" w:lineRule="auto"/>
              <w:rPr>
                <w:rFonts w:cstheme="minorHAnsi"/>
              </w:rPr>
            </w:pPr>
            <w:r>
              <w:rPr>
                <w:rFonts w:cstheme="minorHAnsi"/>
              </w:rPr>
              <w:t>20 calendar days</w:t>
            </w:r>
          </w:p>
        </w:tc>
      </w:tr>
      <w:tr w:rsidR="00D07C4F" w:rsidRPr="009760FD" w14:paraId="76B46ABD" w14:textId="77777777" w:rsidTr="004B2095">
        <w:trPr>
          <w:trHeight w:val="413"/>
        </w:trPr>
        <w:tc>
          <w:tcPr>
            <w:tcW w:w="4390" w:type="dxa"/>
            <w:vAlign w:val="center"/>
          </w:tcPr>
          <w:p w14:paraId="05C09847" w14:textId="77777777" w:rsidR="00D07C4F" w:rsidRDefault="00D07C4F" w:rsidP="00D07C4F">
            <w:pPr>
              <w:autoSpaceDE w:val="0"/>
              <w:autoSpaceDN w:val="0"/>
              <w:adjustRightInd w:val="0"/>
              <w:spacing w:after="0" w:line="240" w:lineRule="auto"/>
              <w:rPr>
                <w:rFonts w:cstheme="minorHAnsi"/>
              </w:rPr>
            </w:pPr>
            <w:r w:rsidRPr="00F76E67">
              <w:rPr>
                <w:rFonts w:cstheme="minorHAnsi"/>
              </w:rPr>
              <w:t>Non-Priority Script</w:t>
            </w:r>
          </w:p>
          <w:p w14:paraId="489E92DD" w14:textId="77777777" w:rsidR="004B2095" w:rsidRPr="00F76E67" w:rsidRDefault="004B2095" w:rsidP="00D07C4F">
            <w:pPr>
              <w:autoSpaceDE w:val="0"/>
              <w:autoSpaceDN w:val="0"/>
              <w:adjustRightInd w:val="0"/>
              <w:spacing w:after="0" w:line="240" w:lineRule="auto"/>
              <w:rPr>
                <w:rFonts w:cstheme="minorHAnsi"/>
              </w:rPr>
            </w:pPr>
            <w:r>
              <w:rPr>
                <w:rFonts w:ascii="Helvetica" w:hAnsi="Helvetica" w:cs="Helvetica"/>
                <w:color w:val="4C4C4B"/>
                <w:sz w:val="20"/>
                <w:szCs w:val="20"/>
                <w:shd w:val="clear" w:color="auto" w:fill="FFFFFF"/>
              </w:rPr>
              <w:t>to support teaching and learning</w:t>
            </w:r>
          </w:p>
        </w:tc>
        <w:tc>
          <w:tcPr>
            <w:tcW w:w="2835" w:type="dxa"/>
            <w:vAlign w:val="center"/>
          </w:tcPr>
          <w:p w14:paraId="06751589" w14:textId="25250921" w:rsidR="00D07C4F" w:rsidRPr="00F76E67" w:rsidRDefault="002D70C8" w:rsidP="00D07C4F">
            <w:pPr>
              <w:autoSpaceDE w:val="0"/>
              <w:autoSpaceDN w:val="0"/>
              <w:adjustRightInd w:val="0"/>
              <w:spacing w:after="0" w:line="240" w:lineRule="auto"/>
              <w:rPr>
                <w:rFonts w:cstheme="minorHAnsi"/>
              </w:rPr>
            </w:pPr>
            <w:r>
              <w:rPr>
                <w:rFonts w:cstheme="minorHAnsi"/>
              </w:rPr>
              <w:t>16</w:t>
            </w:r>
            <w:r w:rsidRPr="002D70C8">
              <w:rPr>
                <w:rFonts w:cstheme="minorHAnsi"/>
                <w:vertAlign w:val="superscript"/>
              </w:rPr>
              <w:t>th</w:t>
            </w:r>
            <w:r w:rsidR="008372EA">
              <w:rPr>
                <w:rFonts w:cstheme="minorHAnsi"/>
              </w:rPr>
              <w:t xml:space="preserve"> September 2022</w:t>
            </w:r>
          </w:p>
        </w:tc>
        <w:tc>
          <w:tcPr>
            <w:tcW w:w="1139" w:type="dxa"/>
            <w:vAlign w:val="center"/>
          </w:tcPr>
          <w:p w14:paraId="54C7D5CD" w14:textId="77777777" w:rsidR="00D07C4F" w:rsidRPr="00F76E67" w:rsidRDefault="00D07C4F" w:rsidP="00D07C4F">
            <w:pPr>
              <w:autoSpaceDE w:val="0"/>
              <w:autoSpaceDN w:val="0"/>
              <w:adjustRightInd w:val="0"/>
              <w:spacing w:after="0" w:line="240" w:lineRule="auto"/>
              <w:rPr>
                <w:rFonts w:cstheme="minorHAnsi"/>
              </w:rPr>
            </w:pPr>
            <w:r w:rsidRPr="00F76E67">
              <w:rPr>
                <w:rFonts w:cstheme="minorHAnsi"/>
              </w:rPr>
              <w:t>£13.00</w:t>
            </w:r>
          </w:p>
        </w:tc>
        <w:tc>
          <w:tcPr>
            <w:tcW w:w="1984" w:type="dxa"/>
            <w:vAlign w:val="center"/>
          </w:tcPr>
          <w:p w14:paraId="1161F9AF" w14:textId="77777777" w:rsidR="00D07C4F" w:rsidRPr="00F76E67" w:rsidRDefault="00D97BBC" w:rsidP="00D07C4F">
            <w:pPr>
              <w:autoSpaceDE w:val="0"/>
              <w:autoSpaceDN w:val="0"/>
              <w:adjustRightInd w:val="0"/>
              <w:spacing w:after="0" w:line="240" w:lineRule="auto"/>
              <w:rPr>
                <w:rFonts w:cstheme="minorHAnsi"/>
              </w:rPr>
            </w:pPr>
            <w:r>
              <w:rPr>
                <w:rFonts w:cstheme="minorHAnsi"/>
              </w:rPr>
              <w:t>31</w:t>
            </w:r>
            <w:r w:rsidRPr="00D97BBC">
              <w:rPr>
                <w:rFonts w:cstheme="minorHAnsi"/>
                <w:vertAlign w:val="superscript"/>
              </w:rPr>
              <w:t>st</w:t>
            </w:r>
            <w:r>
              <w:rPr>
                <w:rFonts w:cstheme="minorHAnsi"/>
              </w:rPr>
              <w:t xml:space="preserve"> October</w:t>
            </w:r>
          </w:p>
        </w:tc>
      </w:tr>
    </w:tbl>
    <w:p w14:paraId="026FCF66" w14:textId="77777777" w:rsidR="002A1068" w:rsidRPr="002A1068" w:rsidRDefault="002A1068" w:rsidP="00F03A48">
      <w:pPr>
        <w:autoSpaceDE w:val="0"/>
        <w:autoSpaceDN w:val="0"/>
        <w:adjustRightInd w:val="0"/>
        <w:spacing w:before="240" w:after="0" w:line="276" w:lineRule="auto"/>
        <w:rPr>
          <w:rFonts w:cstheme="minorHAnsi"/>
          <w:b/>
          <w:bCs/>
          <w:color w:val="000000"/>
          <w:u w:val="single"/>
        </w:rPr>
      </w:pPr>
      <w:r w:rsidRPr="002A1068">
        <w:rPr>
          <w:rFonts w:cstheme="minorHAnsi"/>
          <w:b/>
          <w:bCs/>
          <w:color w:val="000000"/>
          <w:u w:val="single"/>
        </w:rPr>
        <w:t>How to apply for a service</w:t>
      </w:r>
    </w:p>
    <w:p w14:paraId="16741D8D" w14:textId="77777777" w:rsidR="004C1F29" w:rsidRPr="009760FD" w:rsidRDefault="004C1F29" w:rsidP="00F03A48">
      <w:pPr>
        <w:autoSpaceDE w:val="0"/>
        <w:autoSpaceDN w:val="0"/>
        <w:adjustRightInd w:val="0"/>
        <w:spacing w:line="276" w:lineRule="auto"/>
        <w:rPr>
          <w:rFonts w:cstheme="minorHAnsi"/>
          <w:bCs/>
          <w:color w:val="000000"/>
        </w:rPr>
      </w:pPr>
      <w:r w:rsidRPr="009760FD">
        <w:rPr>
          <w:rFonts w:cstheme="minorHAnsi"/>
          <w:bCs/>
          <w:color w:val="000000"/>
        </w:rPr>
        <w:t xml:space="preserve">Students should pay for all Post Results Services online using </w:t>
      </w:r>
      <w:r w:rsidRPr="00F03A48">
        <w:rPr>
          <w:rFonts w:cstheme="minorHAnsi"/>
          <w:b/>
          <w:bCs/>
          <w:color w:val="000000"/>
        </w:rPr>
        <w:t>WisePay</w:t>
      </w:r>
      <w:r w:rsidRPr="009760FD">
        <w:rPr>
          <w:rFonts w:cstheme="minorHAnsi"/>
          <w:bCs/>
          <w:color w:val="000000"/>
        </w:rPr>
        <w:t>.</w:t>
      </w:r>
      <w:r w:rsidR="00EA1348" w:rsidRPr="009760FD">
        <w:rPr>
          <w:rFonts w:cstheme="minorHAnsi"/>
          <w:bCs/>
          <w:color w:val="000000"/>
        </w:rPr>
        <w:t xml:space="preserve"> </w:t>
      </w:r>
      <w:r w:rsidRPr="009760FD">
        <w:rPr>
          <w:rFonts w:cstheme="minorHAnsi"/>
          <w:bCs/>
          <w:color w:val="000000"/>
        </w:rPr>
        <w:t xml:space="preserve">Post Results Services can be found under the </w:t>
      </w:r>
      <w:r w:rsidRPr="00F03A48">
        <w:rPr>
          <w:rFonts w:cstheme="minorHAnsi"/>
          <w:bCs/>
          <w:color w:val="000000"/>
        </w:rPr>
        <w:t>College Shop</w:t>
      </w:r>
      <w:r w:rsidRPr="009760FD">
        <w:rPr>
          <w:rFonts w:cstheme="minorHAnsi"/>
          <w:bCs/>
          <w:color w:val="000000"/>
        </w:rPr>
        <w:t xml:space="preserve"> tab on WisePay. </w:t>
      </w:r>
      <w:r w:rsidRPr="00F03A48">
        <w:rPr>
          <w:rFonts w:cstheme="minorHAnsi"/>
          <w:bCs/>
          <w:color w:val="000000"/>
        </w:rPr>
        <w:t>Payment confirmation</w:t>
      </w:r>
      <w:r w:rsidRPr="009760FD">
        <w:rPr>
          <w:rFonts w:cstheme="minorHAnsi"/>
          <w:bCs/>
          <w:color w:val="000000"/>
        </w:rPr>
        <w:t xml:space="preserve"> must be accompanied by the appropriate signed request form in order for the application to be processed. </w:t>
      </w:r>
      <w:r w:rsidR="002A1068">
        <w:rPr>
          <w:rFonts w:cstheme="minorHAnsi"/>
          <w:bCs/>
          <w:color w:val="000000"/>
        </w:rPr>
        <w:t>Forms</w:t>
      </w:r>
      <w:r w:rsidRPr="009760FD">
        <w:rPr>
          <w:rFonts w:cstheme="minorHAnsi"/>
          <w:bCs/>
          <w:color w:val="000000"/>
        </w:rPr>
        <w:t xml:space="preserve"> can be downloaded from WisePay – or collected from the exams office window.</w:t>
      </w:r>
      <w:r w:rsidR="000A43A0">
        <w:rPr>
          <w:rFonts w:cstheme="minorHAnsi"/>
          <w:bCs/>
          <w:color w:val="000000"/>
        </w:rPr>
        <w:t xml:space="preserve"> </w:t>
      </w:r>
      <w:r w:rsidR="000A43A0" w:rsidRPr="00F03A48">
        <w:rPr>
          <w:rFonts w:cstheme="minorHAnsi"/>
          <w:bCs/>
          <w:color w:val="000000"/>
        </w:rPr>
        <w:t>The confirmation of payment email and the consent form should then be securely</w:t>
      </w:r>
      <w:r w:rsidR="000A43A0">
        <w:rPr>
          <w:rFonts w:cstheme="minorHAnsi"/>
          <w:bCs/>
        </w:rPr>
        <w:t xml:space="preserve"> </w:t>
      </w:r>
      <w:r w:rsidR="000A43A0" w:rsidRPr="00F03A48">
        <w:rPr>
          <w:rFonts w:cstheme="minorHAnsi"/>
          <w:bCs/>
          <w:color w:val="000000"/>
        </w:rPr>
        <w:t>attached and handed in to the exams department.</w:t>
      </w:r>
      <w:bookmarkStart w:id="0" w:name="_GoBack"/>
      <w:bookmarkEnd w:id="0"/>
    </w:p>
    <w:p w14:paraId="7F9E651D" w14:textId="77777777" w:rsidR="004C1F29" w:rsidRPr="002A1068" w:rsidRDefault="00EA1348" w:rsidP="00EA1348">
      <w:pPr>
        <w:autoSpaceDE w:val="0"/>
        <w:autoSpaceDN w:val="0"/>
        <w:adjustRightInd w:val="0"/>
        <w:spacing w:after="0" w:line="240" w:lineRule="auto"/>
        <w:rPr>
          <w:rFonts w:cstheme="minorHAnsi"/>
          <w:b/>
          <w:bCs/>
          <w:color w:val="000000"/>
          <w:u w:val="single"/>
        </w:rPr>
      </w:pPr>
      <w:r w:rsidRPr="002A1068">
        <w:rPr>
          <w:rFonts w:cstheme="minorHAnsi"/>
          <w:b/>
          <w:bCs/>
          <w:noProof/>
          <w:color w:val="000000"/>
          <w:u w:val="single"/>
          <w:lang w:eastAsia="en-GB"/>
        </w:rPr>
        <mc:AlternateContent>
          <mc:Choice Requires="wps">
            <w:drawing>
              <wp:anchor distT="45720" distB="45720" distL="114300" distR="114300" simplePos="0" relativeHeight="251659264" behindDoc="0" locked="0" layoutInCell="1" allowOverlap="1" wp14:anchorId="6AC6EF61" wp14:editId="6CDA5C83">
                <wp:simplePos x="0" y="0"/>
                <wp:positionH relativeFrom="column">
                  <wp:posOffset>2540</wp:posOffset>
                </wp:positionH>
                <wp:positionV relativeFrom="paragraph">
                  <wp:posOffset>299085</wp:posOffset>
                </wp:positionV>
                <wp:extent cx="666750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104900"/>
                        </a:xfrm>
                        <a:prstGeom prst="rect">
                          <a:avLst/>
                        </a:prstGeom>
                        <a:solidFill>
                          <a:srgbClr val="FFFFFF"/>
                        </a:solidFill>
                        <a:ln w="9525">
                          <a:solidFill>
                            <a:srgbClr val="000000"/>
                          </a:solidFill>
                          <a:miter lim="800000"/>
                          <a:headEnd/>
                          <a:tailEnd/>
                        </a:ln>
                      </wps:spPr>
                      <wps:txbx>
                        <w:txbxContent>
                          <w:p w14:paraId="101C0C99" w14:textId="77777777" w:rsidR="00530027" w:rsidRDefault="00530027" w:rsidP="00F5059E">
                            <w:pPr>
                              <w:pStyle w:val="Default"/>
                              <w:rPr>
                                <w:b/>
                                <w:bCs/>
                                <w:sz w:val="20"/>
                                <w:szCs w:val="20"/>
                              </w:rPr>
                            </w:pPr>
                            <w:r>
                              <w:rPr>
                                <w:b/>
                                <w:bCs/>
                                <w:sz w:val="20"/>
                                <w:szCs w:val="20"/>
                              </w:rPr>
                              <w:t>Priority Review</w:t>
                            </w:r>
                          </w:p>
                          <w:p w14:paraId="1F1BF890" w14:textId="77777777" w:rsidR="00F5059E" w:rsidRPr="00F03A48" w:rsidRDefault="00F5059E" w:rsidP="00F5059E">
                            <w:pPr>
                              <w:pStyle w:val="Default"/>
                              <w:rPr>
                                <w:rFonts w:asciiTheme="minorHAnsi" w:hAnsiTheme="minorHAnsi" w:cstheme="minorHAnsi"/>
                                <w:bCs/>
                                <w:sz w:val="22"/>
                                <w:szCs w:val="22"/>
                              </w:rPr>
                            </w:pPr>
                            <w:r w:rsidRPr="00F03A48">
                              <w:rPr>
                                <w:rFonts w:asciiTheme="minorHAnsi" w:hAnsiTheme="minorHAnsi" w:cstheme="minorHAnsi"/>
                                <w:bCs/>
                                <w:sz w:val="22"/>
                                <w:szCs w:val="22"/>
                              </w:rPr>
                              <w:t xml:space="preserve">The service is available for externally assessed components of both unitised and linear GCE specifications. It is only available if a GCE A-level candidate’s place in higher education is dependent on the outcome. Universities and colleges will endeavour to be flexible in keeping places open. However, they can only do so if they are informed of priority reviews of marking that may affect an offer. It is therefore vitally important that candidates inform the relevant universities and colleges as soon as a priority review of marking has been requested. </w:t>
                            </w:r>
                          </w:p>
                          <w:p w14:paraId="0F1B81E2" w14:textId="77777777" w:rsidR="00F5059E" w:rsidRDefault="00F505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6EF61" id="_x0000_t202" coordsize="21600,21600" o:spt="202" path="m,l,21600r21600,l21600,xe">
                <v:stroke joinstyle="miter"/>
                <v:path gradientshapeok="t" o:connecttype="rect"/>
              </v:shapetype>
              <v:shape id="Text Box 2" o:spid="_x0000_s1026" type="#_x0000_t202" style="position:absolute;margin-left:.2pt;margin-top:23.55pt;width:525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2CIwIAAEcEAAAOAAAAZHJzL2Uyb0RvYy54bWysU9uO2yAQfa/Uf0C8N7ajXDZWnNU221SV&#10;tttKu/0AjHGMCgwFEnv79R1wNpveXqrygBhmOJw5M7O+HrQiR+G8BFPRYpJTIgyHRpp9Rb887t5c&#10;UeIDMw1TYERFn4Sn15vXr9a9LcUUOlCNcARBjC97W9EuBFtmmeed0MxPwAqDzhacZgFNt88ax3pE&#10;1yqb5vki68E11gEX3uPt7eikm4TftoKHT23rRSCqosgtpN2lvY57tlmzcu+Y7SQ/0WD/wEIzafDT&#10;M9QtC4wcnPwNSkvuwEMbJhx0Bm0ruUg5YDZF/ks2Dx2zIuWC4nh7lsn/P1h+f/zsiGwqOi2WlBim&#10;sUiPYgjkLQxkGvXprS8x7MFiYBjwGuuccvX2DvhXTwxsO2b24sY56DvBGuRXxJfZxdMRx0eQuv8I&#10;DX7DDgES0NA6HcVDOQiiY52ezrWJVDheLhaL5TxHF0dfUeSzFRrxD1Y+P7fOh/cCNImHijosfoJn&#10;xzsfxtDnkPibByWbnVQqGW5fb5UjR4aNskvrhP5TmDKkr+hqPp2PCvwVIk/rTxBaBux4JXVFr85B&#10;rIy6vTMN0mRlYFKNZ8xOmZOQUbtRxTDUAwZGdWtonlBSB2Nn4yTioQP3nZIeu7qi/tuBOUGJ+mCw&#10;LKtiNotjkIzZfDlFw1166ksPMxyhKhooGY/bkEYncjRwg+VrZRL2hcmJK3ZrKs1psuI4XNop6mX+&#10;Nz8AAAD//wMAUEsDBBQABgAIAAAAIQA52PMx3wAAAAgBAAAPAAAAZHJzL2Rvd25yZXYueG1sTI9B&#10;T8MwDIXvSPyHyEhcEEtbxjZK0wkhgeAGA8E1a7y2InFKknXl3+Od4GLJfk/P36vWk7NixBB7Twry&#10;WQYCqfGmp1bB+9vD5QpETJqMtp5QwQ9GWNenJ5UujT/QK46b1AoOoVhqBV1KQyllbDp0Os78gMTa&#10;zgenE6+hlSboA4c7K4ssW0ine+IPnR7wvsPma7N3Clbzp/EzPl+9fDSLnb1JF8vx8TsodX423d2C&#10;SDilPzMc8Rkdamba+j2ZKKyCOft4LnMQRzW7zviyVVAUeQ6yruT/AvUvAAAA//8DAFBLAQItABQA&#10;BgAIAAAAIQC2gziS/gAAAOEBAAATAAAAAAAAAAAAAAAAAAAAAABbQ29udGVudF9UeXBlc10ueG1s&#10;UEsBAi0AFAAGAAgAAAAhADj9If/WAAAAlAEAAAsAAAAAAAAAAAAAAAAALwEAAF9yZWxzLy5yZWxz&#10;UEsBAi0AFAAGAAgAAAAhACE1TYIjAgAARwQAAA4AAAAAAAAAAAAAAAAALgIAAGRycy9lMm9Eb2Mu&#10;eG1sUEsBAi0AFAAGAAgAAAAhADnY8zHfAAAACAEAAA8AAAAAAAAAAAAAAAAAfQQAAGRycy9kb3du&#10;cmV2LnhtbFBLBQYAAAAABAAEAPMAAACJBQAAAAA=&#10;">
                <v:textbox>
                  <w:txbxContent>
                    <w:p w14:paraId="101C0C99" w14:textId="77777777" w:rsidR="00530027" w:rsidRDefault="00530027" w:rsidP="00F5059E">
                      <w:pPr>
                        <w:pStyle w:val="Default"/>
                        <w:rPr>
                          <w:b/>
                          <w:bCs/>
                          <w:sz w:val="20"/>
                          <w:szCs w:val="20"/>
                        </w:rPr>
                      </w:pPr>
                      <w:r>
                        <w:rPr>
                          <w:b/>
                          <w:bCs/>
                          <w:sz w:val="20"/>
                          <w:szCs w:val="20"/>
                        </w:rPr>
                        <w:t>Priority Review</w:t>
                      </w:r>
                    </w:p>
                    <w:p w14:paraId="1F1BF890" w14:textId="77777777" w:rsidR="00F5059E" w:rsidRPr="00F03A48" w:rsidRDefault="00F5059E" w:rsidP="00F5059E">
                      <w:pPr>
                        <w:pStyle w:val="Default"/>
                        <w:rPr>
                          <w:rFonts w:asciiTheme="minorHAnsi" w:hAnsiTheme="minorHAnsi" w:cstheme="minorHAnsi"/>
                          <w:bCs/>
                          <w:sz w:val="22"/>
                          <w:szCs w:val="22"/>
                        </w:rPr>
                      </w:pPr>
                      <w:r w:rsidRPr="00F03A48">
                        <w:rPr>
                          <w:rFonts w:asciiTheme="minorHAnsi" w:hAnsiTheme="minorHAnsi" w:cstheme="minorHAnsi"/>
                          <w:bCs/>
                          <w:sz w:val="22"/>
                          <w:szCs w:val="22"/>
                        </w:rPr>
                        <w:t xml:space="preserve">The service is available for externally assessed components of both unitised and linear GCE specifications. It is only available if a GCE A-level candidate’s place in higher education is dependent on the outcome. Universities and colleges will endeavour to be flexible in keeping places open. However, they can only do so if they are informed of priority reviews of marking that may affect an offer. It is therefore vitally important that candidates inform the relevant universities and colleges as soon as a priority review of marking has been requested. </w:t>
                      </w:r>
                    </w:p>
                    <w:p w14:paraId="0F1B81E2" w14:textId="77777777" w:rsidR="00F5059E" w:rsidRDefault="00F5059E"/>
                  </w:txbxContent>
                </v:textbox>
                <w10:wrap type="square"/>
              </v:shape>
            </w:pict>
          </mc:Fallback>
        </mc:AlternateContent>
      </w:r>
      <w:r w:rsidR="004C1F29" w:rsidRPr="002A1068">
        <w:rPr>
          <w:rFonts w:cstheme="minorHAnsi"/>
          <w:b/>
          <w:bCs/>
          <w:color w:val="000000"/>
          <w:u w:val="single"/>
        </w:rPr>
        <w:t>Review of Marking – Priority and Standard</w:t>
      </w:r>
    </w:p>
    <w:p w14:paraId="7A9A17E5" w14:textId="77777777" w:rsidR="00F5059E" w:rsidRPr="00F03A48" w:rsidRDefault="00F5059E" w:rsidP="00F03A48">
      <w:pPr>
        <w:pStyle w:val="Default"/>
        <w:spacing w:after="240"/>
        <w:rPr>
          <w:rFonts w:asciiTheme="minorHAnsi" w:hAnsiTheme="minorHAnsi" w:cstheme="minorHAnsi"/>
          <w:bCs/>
          <w:sz w:val="22"/>
          <w:szCs w:val="22"/>
        </w:rPr>
      </w:pPr>
      <w:r w:rsidRPr="00F03A48">
        <w:rPr>
          <w:rFonts w:asciiTheme="minorHAnsi" w:hAnsiTheme="minorHAnsi" w:cstheme="minorHAnsi"/>
          <w:bCs/>
          <w:sz w:val="22"/>
          <w:szCs w:val="22"/>
        </w:rPr>
        <w:t xml:space="preserve">This is a post-results review of the original marking to ensure that the agreed mark scheme has been applied correctly. It is not a re-marking of the candidate’s script. The awarding body will have trained its reviewers to conduct reviews of marking accurately and consistently. Reviewers will not re-mark the script. </w:t>
      </w:r>
    </w:p>
    <w:p w14:paraId="0493B0E5" w14:textId="77777777" w:rsidR="00F5059E" w:rsidRPr="00F03A48" w:rsidRDefault="00F5059E" w:rsidP="00EA1348">
      <w:pPr>
        <w:pStyle w:val="Default"/>
        <w:rPr>
          <w:rFonts w:asciiTheme="minorHAnsi" w:hAnsiTheme="minorHAnsi" w:cstheme="minorHAnsi"/>
          <w:bCs/>
          <w:sz w:val="22"/>
          <w:szCs w:val="22"/>
        </w:rPr>
      </w:pPr>
      <w:r w:rsidRPr="00F03A48">
        <w:rPr>
          <w:rFonts w:asciiTheme="minorHAnsi" w:hAnsiTheme="minorHAnsi" w:cstheme="minorHAnsi"/>
          <w:bCs/>
          <w:sz w:val="22"/>
          <w:szCs w:val="22"/>
        </w:rPr>
        <w:t xml:space="preserve">This service will include: </w:t>
      </w:r>
    </w:p>
    <w:p w14:paraId="30F5E8AE" w14:textId="77777777" w:rsidR="00F5059E" w:rsidRPr="00F03A48" w:rsidRDefault="00F5059E" w:rsidP="00EA1348">
      <w:pPr>
        <w:pStyle w:val="Default"/>
        <w:rPr>
          <w:rFonts w:asciiTheme="minorHAnsi" w:hAnsiTheme="minorHAnsi" w:cstheme="minorHAnsi"/>
          <w:bCs/>
          <w:sz w:val="22"/>
          <w:szCs w:val="22"/>
        </w:rPr>
      </w:pPr>
      <w:r w:rsidRPr="00F03A48">
        <w:rPr>
          <w:rFonts w:asciiTheme="minorHAnsi" w:hAnsiTheme="minorHAnsi" w:cstheme="minorHAnsi"/>
          <w:bCs/>
          <w:sz w:val="22"/>
          <w:szCs w:val="22"/>
        </w:rPr>
        <w:t xml:space="preserve">• the clerical re-checks detailed in Service 1; </w:t>
      </w:r>
    </w:p>
    <w:p w14:paraId="64EC2A7C" w14:textId="77777777" w:rsidR="00F5059E" w:rsidRPr="00F03A48" w:rsidRDefault="00F5059E" w:rsidP="00F03A48">
      <w:pPr>
        <w:pStyle w:val="Default"/>
        <w:spacing w:after="240"/>
        <w:rPr>
          <w:rFonts w:asciiTheme="minorHAnsi" w:hAnsiTheme="minorHAnsi" w:cstheme="minorHAnsi"/>
          <w:bCs/>
          <w:sz w:val="22"/>
          <w:szCs w:val="22"/>
        </w:rPr>
      </w:pPr>
      <w:r w:rsidRPr="00F03A48">
        <w:rPr>
          <w:rFonts w:asciiTheme="minorHAnsi" w:hAnsiTheme="minorHAnsi" w:cstheme="minorHAnsi"/>
          <w:bCs/>
          <w:sz w:val="22"/>
          <w:szCs w:val="22"/>
        </w:rPr>
        <w:t xml:space="preserve">• a review of marking as described above. </w:t>
      </w:r>
    </w:p>
    <w:p w14:paraId="5326B7A1" w14:textId="77777777" w:rsidR="004C1F29" w:rsidRPr="00F03A48" w:rsidRDefault="004C1F29" w:rsidP="00F03A48">
      <w:pPr>
        <w:pStyle w:val="Default"/>
        <w:rPr>
          <w:rFonts w:asciiTheme="minorHAnsi" w:hAnsiTheme="minorHAnsi" w:cstheme="minorHAnsi"/>
          <w:bCs/>
          <w:sz w:val="22"/>
          <w:szCs w:val="22"/>
        </w:rPr>
      </w:pPr>
      <w:r w:rsidRPr="00F03A48">
        <w:rPr>
          <w:rFonts w:asciiTheme="minorHAnsi" w:hAnsiTheme="minorHAnsi" w:cstheme="minorHAnsi"/>
          <w:bCs/>
          <w:sz w:val="22"/>
          <w:szCs w:val="22"/>
        </w:rPr>
        <w:t xml:space="preserve">For students who have a </w:t>
      </w:r>
      <w:r w:rsidRPr="00F03A48">
        <w:rPr>
          <w:rFonts w:asciiTheme="minorHAnsi" w:hAnsiTheme="minorHAnsi" w:cstheme="minorHAnsi"/>
          <w:b/>
          <w:bCs/>
          <w:sz w:val="22"/>
          <w:szCs w:val="22"/>
        </w:rPr>
        <w:t>University place</w:t>
      </w:r>
      <w:r w:rsidRPr="00F03A48">
        <w:rPr>
          <w:rFonts w:asciiTheme="minorHAnsi" w:hAnsiTheme="minorHAnsi" w:cstheme="minorHAnsi"/>
          <w:bCs/>
          <w:sz w:val="22"/>
          <w:szCs w:val="22"/>
        </w:rPr>
        <w:t xml:space="preserve"> that is dependent on the outcome a </w:t>
      </w:r>
      <w:r w:rsidRPr="00F03A48">
        <w:rPr>
          <w:rFonts w:asciiTheme="minorHAnsi" w:hAnsiTheme="minorHAnsi" w:cstheme="minorHAnsi"/>
          <w:b/>
          <w:bCs/>
          <w:sz w:val="22"/>
          <w:szCs w:val="22"/>
        </w:rPr>
        <w:t>Priority Review of Marking</w:t>
      </w:r>
      <w:r w:rsidRPr="00F03A48">
        <w:rPr>
          <w:rFonts w:asciiTheme="minorHAnsi" w:hAnsiTheme="minorHAnsi" w:cstheme="minorHAnsi"/>
          <w:bCs/>
          <w:sz w:val="22"/>
          <w:szCs w:val="22"/>
        </w:rPr>
        <w:t xml:space="preserve"> must be requested.</w:t>
      </w:r>
      <w:r w:rsidR="009760FD" w:rsidRPr="00F03A48">
        <w:rPr>
          <w:rFonts w:asciiTheme="minorHAnsi" w:hAnsiTheme="minorHAnsi" w:cstheme="minorHAnsi"/>
          <w:bCs/>
          <w:sz w:val="22"/>
          <w:szCs w:val="22"/>
        </w:rPr>
        <w:t xml:space="preserve"> </w:t>
      </w:r>
      <w:r w:rsidRPr="00F03A48">
        <w:rPr>
          <w:rFonts w:asciiTheme="minorHAnsi" w:hAnsiTheme="minorHAnsi" w:cstheme="minorHAnsi"/>
          <w:bCs/>
          <w:sz w:val="22"/>
          <w:szCs w:val="22"/>
        </w:rPr>
        <w:t>The outcome should be received within 15 calendar days of the exam board receiving the request.</w:t>
      </w:r>
    </w:p>
    <w:p w14:paraId="0F5F7A80" w14:textId="77777777" w:rsidR="00EA1348" w:rsidRPr="00F03A48" w:rsidRDefault="00EA1348" w:rsidP="00F03A48">
      <w:pPr>
        <w:pStyle w:val="Default"/>
        <w:rPr>
          <w:rFonts w:asciiTheme="minorHAnsi" w:hAnsiTheme="minorHAnsi" w:cstheme="minorHAnsi"/>
          <w:bCs/>
          <w:sz w:val="22"/>
          <w:szCs w:val="22"/>
        </w:rPr>
      </w:pPr>
    </w:p>
    <w:p w14:paraId="5CEB4043" w14:textId="77777777" w:rsidR="004C1F29" w:rsidRPr="00F03A48" w:rsidRDefault="004C1F29" w:rsidP="00F03A48">
      <w:pPr>
        <w:pStyle w:val="Default"/>
        <w:spacing w:after="240"/>
        <w:rPr>
          <w:rFonts w:asciiTheme="minorHAnsi" w:hAnsiTheme="minorHAnsi" w:cstheme="minorHAnsi"/>
          <w:bCs/>
          <w:sz w:val="22"/>
          <w:szCs w:val="22"/>
        </w:rPr>
      </w:pPr>
      <w:r w:rsidRPr="00F03A48">
        <w:rPr>
          <w:rFonts w:asciiTheme="minorHAnsi" w:hAnsiTheme="minorHAnsi" w:cstheme="minorHAnsi"/>
          <w:bCs/>
          <w:sz w:val="22"/>
          <w:szCs w:val="22"/>
        </w:rPr>
        <w:t xml:space="preserve">For all other students a </w:t>
      </w:r>
      <w:r w:rsidRPr="00F03A48">
        <w:rPr>
          <w:rFonts w:asciiTheme="minorHAnsi" w:hAnsiTheme="minorHAnsi" w:cstheme="minorHAnsi"/>
          <w:b/>
          <w:bCs/>
          <w:sz w:val="22"/>
          <w:szCs w:val="22"/>
        </w:rPr>
        <w:t>standard re</w:t>
      </w:r>
      <w:r w:rsidR="00F03A48">
        <w:rPr>
          <w:rFonts w:asciiTheme="minorHAnsi" w:hAnsiTheme="minorHAnsi" w:cstheme="minorHAnsi"/>
          <w:b/>
          <w:bCs/>
          <w:sz w:val="22"/>
          <w:szCs w:val="22"/>
        </w:rPr>
        <w:t>view</w:t>
      </w:r>
      <w:r w:rsidRPr="00F03A48">
        <w:rPr>
          <w:rFonts w:asciiTheme="minorHAnsi" w:hAnsiTheme="minorHAnsi" w:cstheme="minorHAnsi"/>
          <w:bCs/>
          <w:sz w:val="22"/>
          <w:szCs w:val="22"/>
        </w:rPr>
        <w:t xml:space="preserve"> can be requested. The outcome should be received within 20 calendar</w:t>
      </w:r>
      <w:r w:rsidR="00EA1348" w:rsidRPr="00F03A48">
        <w:rPr>
          <w:rFonts w:asciiTheme="minorHAnsi" w:hAnsiTheme="minorHAnsi" w:cstheme="minorHAnsi"/>
          <w:bCs/>
          <w:sz w:val="22"/>
          <w:szCs w:val="22"/>
        </w:rPr>
        <w:t xml:space="preserve"> </w:t>
      </w:r>
      <w:r w:rsidRPr="00F03A48">
        <w:rPr>
          <w:rFonts w:asciiTheme="minorHAnsi" w:hAnsiTheme="minorHAnsi" w:cstheme="minorHAnsi"/>
          <w:bCs/>
          <w:sz w:val="22"/>
          <w:szCs w:val="22"/>
        </w:rPr>
        <w:t>days of the exam board receiving the request.</w:t>
      </w:r>
    </w:p>
    <w:p w14:paraId="480D3A48" w14:textId="77777777" w:rsidR="004C1F29" w:rsidRPr="00F03A48" w:rsidRDefault="004C1F29" w:rsidP="00F03A48">
      <w:pPr>
        <w:pStyle w:val="Default"/>
        <w:spacing w:after="240"/>
        <w:rPr>
          <w:rFonts w:asciiTheme="minorHAnsi" w:hAnsiTheme="minorHAnsi" w:cstheme="minorHAnsi"/>
          <w:b/>
          <w:bCs/>
          <w:sz w:val="22"/>
          <w:szCs w:val="22"/>
          <w:u w:val="single"/>
        </w:rPr>
      </w:pPr>
      <w:r w:rsidRPr="00F03A48">
        <w:rPr>
          <w:rFonts w:asciiTheme="minorHAnsi" w:hAnsiTheme="minorHAnsi" w:cstheme="minorHAnsi"/>
          <w:b/>
          <w:bCs/>
          <w:sz w:val="22"/>
          <w:szCs w:val="22"/>
          <w:u w:val="single"/>
        </w:rPr>
        <w:t>Access to scripts – Priority and Non-Priority</w:t>
      </w:r>
    </w:p>
    <w:p w14:paraId="3E81C43B" w14:textId="77777777" w:rsidR="004C1F29" w:rsidRPr="00F03A48" w:rsidRDefault="004C1F29" w:rsidP="00F03A48">
      <w:pPr>
        <w:pStyle w:val="Default"/>
        <w:rPr>
          <w:rFonts w:asciiTheme="minorHAnsi" w:hAnsiTheme="minorHAnsi" w:cstheme="minorHAnsi"/>
          <w:bCs/>
          <w:sz w:val="22"/>
          <w:szCs w:val="22"/>
        </w:rPr>
      </w:pPr>
      <w:r w:rsidRPr="00F03A48">
        <w:rPr>
          <w:rFonts w:asciiTheme="minorHAnsi" w:hAnsiTheme="minorHAnsi" w:cstheme="minorHAnsi"/>
          <w:bCs/>
          <w:sz w:val="22"/>
          <w:szCs w:val="22"/>
        </w:rPr>
        <w:t>After the release of results, students may ask for the return of exam papers. A photocopy or the original exam</w:t>
      </w:r>
    </w:p>
    <w:p w14:paraId="1351F0BD" w14:textId="77777777" w:rsidR="004C1F29" w:rsidRPr="00F03A48" w:rsidRDefault="004C1F29" w:rsidP="00F03A48">
      <w:pPr>
        <w:pStyle w:val="Default"/>
        <w:rPr>
          <w:rFonts w:asciiTheme="minorHAnsi" w:hAnsiTheme="minorHAnsi" w:cstheme="minorHAnsi"/>
          <w:bCs/>
          <w:sz w:val="22"/>
          <w:szCs w:val="22"/>
        </w:rPr>
      </w:pPr>
      <w:r w:rsidRPr="00F03A48">
        <w:rPr>
          <w:rFonts w:asciiTheme="minorHAnsi" w:hAnsiTheme="minorHAnsi" w:cstheme="minorHAnsi"/>
          <w:bCs/>
          <w:sz w:val="22"/>
          <w:szCs w:val="22"/>
        </w:rPr>
        <w:t>script can be requested. Students should pay for the script online and sign a consent form available to download on</w:t>
      </w:r>
    </w:p>
    <w:p w14:paraId="498D4C50" w14:textId="77777777" w:rsidR="004C1F29" w:rsidRPr="00F03A48" w:rsidRDefault="004C1F29" w:rsidP="00F03A48">
      <w:pPr>
        <w:pStyle w:val="Default"/>
        <w:rPr>
          <w:rFonts w:asciiTheme="minorHAnsi" w:hAnsiTheme="minorHAnsi" w:cstheme="minorHAnsi"/>
          <w:bCs/>
          <w:sz w:val="22"/>
          <w:szCs w:val="22"/>
        </w:rPr>
      </w:pPr>
      <w:r w:rsidRPr="00F03A48">
        <w:rPr>
          <w:rFonts w:asciiTheme="minorHAnsi" w:hAnsiTheme="minorHAnsi" w:cstheme="minorHAnsi"/>
          <w:bCs/>
          <w:sz w:val="22"/>
          <w:szCs w:val="22"/>
        </w:rPr>
        <w:t>WisePay.</w:t>
      </w:r>
      <w:r w:rsidR="00EA1348" w:rsidRPr="00F03A48">
        <w:rPr>
          <w:rFonts w:asciiTheme="minorHAnsi" w:hAnsiTheme="minorHAnsi" w:cstheme="minorHAnsi"/>
          <w:bCs/>
          <w:sz w:val="22"/>
          <w:szCs w:val="22"/>
        </w:rPr>
        <w:t xml:space="preserve"> </w:t>
      </w:r>
      <w:r w:rsidRPr="00F03A48">
        <w:rPr>
          <w:rFonts w:asciiTheme="minorHAnsi" w:hAnsiTheme="minorHAnsi" w:cstheme="minorHAnsi"/>
          <w:bCs/>
          <w:sz w:val="22"/>
          <w:szCs w:val="22"/>
        </w:rPr>
        <w:t>The confirmation of payment email and the consent form should then be securely</w:t>
      </w:r>
      <w:r w:rsidR="008C370E">
        <w:rPr>
          <w:rFonts w:asciiTheme="minorHAnsi" w:hAnsiTheme="minorHAnsi" w:cstheme="minorHAnsi"/>
          <w:bCs/>
          <w:sz w:val="22"/>
          <w:szCs w:val="22"/>
        </w:rPr>
        <w:t xml:space="preserve"> </w:t>
      </w:r>
      <w:r w:rsidRPr="00F03A48">
        <w:rPr>
          <w:rFonts w:asciiTheme="minorHAnsi" w:hAnsiTheme="minorHAnsi" w:cstheme="minorHAnsi"/>
          <w:bCs/>
          <w:sz w:val="22"/>
          <w:szCs w:val="22"/>
        </w:rPr>
        <w:t>attached and handed in to the exams department.</w:t>
      </w:r>
    </w:p>
    <w:p w14:paraId="4CB5881B" w14:textId="77777777" w:rsidR="00EA1348" w:rsidRPr="00F03A48" w:rsidRDefault="00EA1348" w:rsidP="00F03A48">
      <w:pPr>
        <w:pStyle w:val="Default"/>
        <w:rPr>
          <w:rFonts w:asciiTheme="minorHAnsi" w:hAnsiTheme="minorHAnsi" w:cstheme="minorHAnsi"/>
          <w:bCs/>
          <w:sz w:val="22"/>
          <w:szCs w:val="22"/>
        </w:rPr>
      </w:pPr>
    </w:p>
    <w:p w14:paraId="6B3354FD" w14:textId="77777777" w:rsidR="004C1F29" w:rsidRPr="00F03A48" w:rsidRDefault="004C1F29" w:rsidP="00F03A48">
      <w:pPr>
        <w:pStyle w:val="Default"/>
        <w:rPr>
          <w:rFonts w:asciiTheme="minorHAnsi" w:hAnsiTheme="minorHAnsi" w:cstheme="minorHAnsi"/>
          <w:b/>
          <w:bCs/>
          <w:sz w:val="22"/>
          <w:szCs w:val="22"/>
        </w:rPr>
      </w:pPr>
      <w:r w:rsidRPr="00F03A48">
        <w:rPr>
          <w:rFonts w:asciiTheme="minorHAnsi" w:hAnsiTheme="minorHAnsi" w:cstheme="minorHAnsi"/>
          <w:b/>
          <w:bCs/>
          <w:sz w:val="22"/>
          <w:szCs w:val="22"/>
        </w:rPr>
        <w:t>IMPORTANT: We will be unable to process your request until we receive the relevant permission form and</w:t>
      </w:r>
      <w:r w:rsidR="00EA1348" w:rsidRPr="00F03A48">
        <w:rPr>
          <w:rFonts w:asciiTheme="minorHAnsi" w:hAnsiTheme="minorHAnsi" w:cstheme="minorHAnsi"/>
          <w:b/>
          <w:bCs/>
          <w:sz w:val="22"/>
          <w:szCs w:val="22"/>
        </w:rPr>
        <w:t xml:space="preserve"> </w:t>
      </w:r>
      <w:r w:rsidRPr="00F03A48">
        <w:rPr>
          <w:rFonts w:asciiTheme="minorHAnsi" w:hAnsiTheme="minorHAnsi" w:cstheme="minorHAnsi"/>
          <w:b/>
          <w:bCs/>
          <w:sz w:val="22"/>
          <w:szCs w:val="22"/>
        </w:rPr>
        <w:t>confirmation of payment. Please ensure both parts are secured together and returned to the exams office.</w:t>
      </w:r>
    </w:p>
    <w:p w14:paraId="2B505E4E" w14:textId="77777777" w:rsidR="00EA1348" w:rsidRPr="00F03A48" w:rsidRDefault="00EA1348" w:rsidP="00F03A48">
      <w:pPr>
        <w:pStyle w:val="Default"/>
        <w:rPr>
          <w:rFonts w:asciiTheme="minorHAnsi" w:hAnsiTheme="minorHAnsi" w:cstheme="minorHAnsi"/>
          <w:bCs/>
          <w:sz w:val="22"/>
          <w:szCs w:val="22"/>
        </w:rPr>
      </w:pPr>
    </w:p>
    <w:p w14:paraId="453E9B7F" w14:textId="77777777" w:rsidR="004C1F29" w:rsidRPr="00F03A48" w:rsidRDefault="004C1F29" w:rsidP="00F03A48">
      <w:pPr>
        <w:pStyle w:val="Default"/>
        <w:rPr>
          <w:rFonts w:asciiTheme="minorHAnsi" w:hAnsiTheme="minorHAnsi" w:cstheme="minorHAnsi"/>
          <w:bCs/>
          <w:sz w:val="22"/>
          <w:szCs w:val="22"/>
        </w:rPr>
      </w:pPr>
      <w:r w:rsidRPr="00F03A48">
        <w:rPr>
          <w:rFonts w:asciiTheme="minorHAnsi" w:hAnsiTheme="minorHAnsi" w:cstheme="minorHAnsi"/>
          <w:bCs/>
          <w:sz w:val="22"/>
          <w:szCs w:val="22"/>
        </w:rPr>
        <w:t>If students have any queries relating to this information</w:t>
      </w:r>
      <w:r w:rsidR="00F76E67">
        <w:rPr>
          <w:rFonts w:asciiTheme="minorHAnsi" w:hAnsiTheme="minorHAnsi" w:cstheme="minorHAnsi"/>
          <w:bCs/>
          <w:sz w:val="22"/>
          <w:szCs w:val="22"/>
        </w:rPr>
        <w:t>,</w:t>
      </w:r>
      <w:r w:rsidRPr="00F03A48">
        <w:rPr>
          <w:rFonts w:asciiTheme="minorHAnsi" w:hAnsiTheme="minorHAnsi" w:cstheme="minorHAnsi"/>
          <w:bCs/>
          <w:sz w:val="22"/>
          <w:szCs w:val="22"/>
        </w:rPr>
        <w:t xml:space="preserve"> then please contact th</w:t>
      </w:r>
      <w:r w:rsidR="00F03A48">
        <w:rPr>
          <w:rFonts w:asciiTheme="minorHAnsi" w:hAnsiTheme="minorHAnsi" w:cstheme="minorHAnsi"/>
          <w:bCs/>
          <w:sz w:val="22"/>
          <w:szCs w:val="22"/>
        </w:rPr>
        <w:t>e Exams Office on 0115 851 5000</w:t>
      </w:r>
    </w:p>
    <w:p w14:paraId="0DE023B8" w14:textId="77777777" w:rsidR="00932AE1" w:rsidRPr="00F03A48" w:rsidRDefault="004C1F29" w:rsidP="00F03A48">
      <w:pPr>
        <w:pStyle w:val="Default"/>
        <w:rPr>
          <w:rFonts w:asciiTheme="minorHAnsi" w:hAnsiTheme="minorHAnsi" w:cstheme="minorHAnsi"/>
          <w:bCs/>
          <w:sz w:val="22"/>
          <w:szCs w:val="22"/>
        </w:rPr>
      </w:pPr>
      <w:r w:rsidRPr="00F03A48">
        <w:rPr>
          <w:rFonts w:asciiTheme="minorHAnsi" w:hAnsiTheme="minorHAnsi" w:cstheme="minorHAnsi"/>
          <w:bCs/>
          <w:sz w:val="22"/>
          <w:szCs w:val="22"/>
        </w:rPr>
        <w:t>extension 2036 or email: exams@bilborough.ac.uk</w:t>
      </w:r>
    </w:p>
    <w:sectPr w:rsidR="00932AE1" w:rsidRPr="00F03A48" w:rsidSect="009760FD">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29"/>
    <w:rsid w:val="00043F4B"/>
    <w:rsid w:val="000A43A0"/>
    <w:rsid w:val="0026562F"/>
    <w:rsid w:val="002A0A21"/>
    <w:rsid w:val="002A1068"/>
    <w:rsid w:val="002D70C8"/>
    <w:rsid w:val="00391578"/>
    <w:rsid w:val="004B2095"/>
    <w:rsid w:val="004C1F29"/>
    <w:rsid w:val="00530027"/>
    <w:rsid w:val="005F253E"/>
    <w:rsid w:val="008372EA"/>
    <w:rsid w:val="008C370E"/>
    <w:rsid w:val="00932AE1"/>
    <w:rsid w:val="009760FD"/>
    <w:rsid w:val="00A52A7C"/>
    <w:rsid w:val="00D07C4F"/>
    <w:rsid w:val="00D97BBC"/>
    <w:rsid w:val="00E2058F"/>
    <w:rsid w:val="00EA1348"/>
    <w:rsid w:val="00F03A48"/>
    <w:rsid w:val="00F5059E"/>
    <w:rsid w:val="00F7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9182"/>
  <w15:chartTrackingRefBased/>
  <w15:docId w15:val="{AD52BF5D-0315-4F5A-87FE-87F410A5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59E"/>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2A1068"/>
    <w:rPr>
      <w:color w:val="0563C1" w:themeColor="hyperlink"/>
      <w:u w:val="single"/>
    </w:rPr>
  </w:style>
  <w:style w:type="character" w:styleId="FollowedHyperlink">
    <w:name w:val="FollowedHyperlink"/>
    <w:basedOn w:val="DefaultParagraphFont"/>
    <w:uiPriority w:val="99"/>
    <w:semiHidden/>
    <w:unhideWhenUsed/>
    <w:rsid w:val="002A0A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cq.org.uk/exams-office/post-result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Karlee Wildgoose</cp:lastModifiedBy>
  <cp:revision>2</cp:revision>
  <cp:lastPrinted>2018-06-25T14:56:00Z</cp:lastPrinted>
  <dcterms:created xsi:type="dcterms:W3CDTF">2022-07-28T08:36:00Z</dcterms:created>
  <dcterms:modified xsi:type="dcterms:W3CDTF">2022-07-28T08:36:00Z</dcterms:modified>
</cp:coreProperties>
</file>